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D4E" w:rsidRDefault="0013525E" w:rsidP="0013525E">
      <w:pPr>
        <w:ind w:firstLine="0"/>
        <w:rPr>
          <w:b/>
          <w:sz w:val="28"/>
          <w:szCs w:val="28"/>
          <w:u w:val="single"/>
        </w:rPr>
      </w:pPr>
      <w:r w:rsidRPr="0013525E">
        <w:rPr>
          <w:b/>
          <w:sz w:val="28"/>
          <w:szCs w:val="28"/>
          <w:u w:val="single"/>
        </w:rPr>
        <w:t>Η νέα διαδικασία μεσο</w:t>
      </w:r>
      <w:r>
        <w:rPr>
          <w:b/>
          <w:sz w:val="28"/>
          <w:szCs w:val="28"/>
          <w:u w:val="single"/>
        </w:rPr>
        <w:t xml:space="preserve">λάβησης και διαιτησίας μετά τον </w:t>
      </w:r>
      <w:r w:rsidRPr="0013525E">
        <w:rPr>
          <w:b/>
          <w:sz w:val="28"/>
          <w:szCs w:val="28"/>
          <w:u w:val="single"/>
        </w:rPr>
        <w:t>Ν.4303/14</w:t>
      </w:r>
    </w:p>
    <w:p w:rsidR="0013525E" w:rsidRDefault="0013525E" w:rsidP="0013525E">
      <w:pPr>
        <w:ind w:firstLine="0"/>
        <w:rPr>
          <w:sz w:val="28"/>
          <w:szCs w:val="28"/>
        </w:rPr>
      </w:pPr>
      <w:r w:rsidRPr="0013525E">
        <w:rPr>
          <w:b/>
          <w:sz w:val="32"/>
          <w:szCs w:val="28"/>
          <w:u w:val="single"/>
        </w:rPr>
        <w:t xml:space="preserve">Τι </w:t>
      </w:r>
      <w:r>
        <w:rPr>
          <w:b/>
          <w:sz w:val="32"/>
          <w:szCs w:val="28"/>
          <w:u w:val="single"/>
        </w:rPr>
        <w:t>είναι η διαιτησία;</w:t>
      </w:r>
    </w:p>
    <w:p w:rsidR="0013525E" w:rsidRDefault="0013525E" w:rsidP="00C36FB5">
      <w:pPr>
        <w:rPr>
          <w:rFonts w:asciiTheme="majorHAnsi" w:hAnsiTheme="majorHAnsi"/>
          <w:sz w:val="28"/>
          <w:szCs w:val="28"/>
        </w:rPr>
      </w:pPr>
      <w:r>
        <w:rPr>
          <w:rFonts w:asciiTheme="majorHAnsi" w:hAnsiTheme="majorHAnsi"/>
          <w:sz w:val="28"/>
          <w:szCs w:val="28"/>
        </w:rPr>
        <w:t xml:space="preserve">    Πρόκειται για την παρέμβααση ενός τρίτου στη διένεξη μεταξύ των κοινωνικών εταίρων και η παροχή βοήθειας για την επίλυση μιας συλλογικής διαφοράς.  Όπως ήδη γνωρίζουμε, οι κοινωνικοί εταίροι εκφράζουν τη συλλογική αυτονομία</w:t>
      </w:r>
      <w:r w:rsidR="00C36FB5">
        <w:rPr>
          <w:rFonts w:asciiTheme="majorHAnsi" w:hAnsiTheme="majorHAnsi"/>
          <w:sz w:val="28"/>
          <w:szCs w:val="28"/>
        </w:rPr>
        <w:t>,</w:t>
      </w:r>
      <w:r>
        <w:rPr>
          <w:rFonts w:asciiTheme="majorHAnsi" w:hAnsiTheme="majorHAnsi"/>
          <w:sz w:val="28"/>
          <w:szCs w:val="28"/>
        </w:rPr>
        <w:t xml:space="preserve"> που τους έχει παραχωρήσει ο νομοθέτης</w:t>
      </w:r>
      <w:r w:rsidR="00C36FB5">
        <w:rPr>
          <w:rFonts w:asciiTheme="majorHAnsi" w:hAnsiTheme="majorHAnsi"/>
          <w:sz w:val="28"/>
          <w:szCs w:val="28"/>
        </w:rPr>
        <w:t>,</w:t>
      </w:r>
      <w:r>
        <w:rPr>
          <w:rFonts w:asciiTheme="majorHAnsi" w:hAnsiTheme="majorHAnsi"/>
          <w:sz w:val="28"/>
          <w:szCs w:val="28"/>
        </w:rPr>
        <w:t xml:space="preserve"> μέσω των</w:t>
      </w:r>
      <w:r w:rsidR="00C36FB5">
        <w:rPr>
          <w:rFonts w:asciiTheme="majorHAnsi" w:hAnsiTheme="majorHAnsi"/>
          <w:sz w:val="28"/>
          <w:szCs w:val="28"/>
        </w:rPr>
        <w:t xml:space="preserve"> συλλογικών τους </w:t>
      </w:r>
      <w:r>
        <w:rPr>
          <w:rFonts w:asciiTheme="majorHAnsi" w:hAnsiTheme="majorHAnsi"/>
          <w:sz w:val="28"/>
          <w:szCs w:val="28"/>
        </w:rPr>
        <w:t xml:space="preserve"> διαπραγματεύσεων και ,εν τέλει, της σύναψης των ΣΣΕ. Η διαιτησία έρχεται να επέμβει ακριβώς μετά την αποτυχία των συλλογικών διαπραγματεύσεων, όταν δηλαδή η διαφορά φαίνεται να οδηγείται σε αδιέξοδο. </w:t>
      </w:r>
    </w:p>
    <w:p w:rsidR="008949ED" w:rsidRDefault="00C36FB5" w:rsidP="00743E4B">
      <w:pPr>
        <w:spacing w:line="240" w:lineRule="auto"/>
        <w:rPr>
          <w:rFonts w:asciiTheme="majorHAnsi" w:hAnsiTheme="majorHAnsi"/>
          <w:sz w:val="28"/>
          <w:szCs w:val="28"/>
        </w:rPr>
      </w:pPr>
      <w:r w:rsidRPr="008949ED">
        <w:rPr>
          <w:rFonts w:asciiTheme="majorHAnsi" w:hAnsiTheme="majorHAnsi"/>
          <w:sz w:val="28"/>
          <w:szCs w:val="28"/>
        </w:rPr>
        <w:t xml:space="preserve">Αντικείμενο της διαιτησίας είναι </w:t>
      </w:r>
      <w:r w:rsidR="006D716D" w:rsidRPr="008949ED">
        <w:rPr>
          <w:rFonts w:asciiTheme="majorHAnsi" w:hAnsiTheme="majorHAnsi"/>
          <w:sz w:val="28"/>
          <w:szCs w:val="28"/>
        </w:rPr>
        <w:t xml:space="preserve">, λοιπόν, </w:t>
      </w:r>
      <w:r w:rsidRPr="008949ED">
        <w:rPr>
          <w:rFonts w:asciiTheme="majorHAnsi" w:hAnsiTheme="majorHAnsi"/>
          <w:sz w:val="28"/>
          <w:szCs w:val="28"/>
        </w:rPr>
        <w:t>η επίλυση συλλογικών διαφορών συμφερόντων, δηλαδή διαφορών που έχουν ως περιεχόμενο τη ρύθμιση των όρων και συνθηκών εργασίας.</w:t>
      </w:r>
      <w:r>
        <w:rPr>
          <w:rFonts w:asciiTheme="majorHAnsi" w:hAnsiTheme="majorHAnsi"/>
          <w:sz w:val="28"/>
          <w:szCs w:val="28"/>
        </w:rPr>
        <w:t xml:space="preserve"> </w:t>
      </w:r>
      <w:r w:rsidR="000B2E7E">
        <w:rPr>
          <w:rFonts w:asciiTheme="majorHAnsi" w:hAnsiTheme="majorHAnsi"/>
          <w:sz w:val="28"/>
          <w:szCs w:val="28"/>
        </w:rPr>
        <w:t xml:space="preserve"> </w:t>
      </w:r>
      <w:r w:rsidR="000B2E7E" w:rsidRPr="008949ED">
        <w:rPr>
          <w:rFonts w:asciiTheme="majorHAnsi" w:hAnsiTheme="majorHAnsi"/>
          <w:b/>
          <w:sz w:val="28"/>
          <w:szCs w:val="28"/>
          <w:u w:val="single"/>
        </w:rPr>
        <w:t>Μετά τον 4303/14</w:t>
      </w:r>
      <w:r w:rsidR="008949ED">
        <w:rPr>
          <w:rFonts w:asciiTheme="majorHAnsi" w:hAnsiTheme="majorHAnsi"/>
          <w:b/>
          <w:sz w:val="28"/>
          <w:szCs w:val="28"/>
          <w:u w:val="single"/>
        </w:rPr>
        <w:t>,</w:t>
      </w:r>
      <w:r w:rsidR="000B2E7E" w:rsidRPr="008949ED">
        <w:rPr>
          <w:rFonts w:asciiTheme="majorHAnsi" w:hAnsiTheme="majorHAnsi"/>
          <w:b/>
          <w:sz w:val="28"/>
          <w:szCs w:val="28"/>
          <w:u w:val="single"/>
        </w:rPr>
        <w:t xml:space="preserve"> όλα τα ζητήματα που ανήκουν στο περιεχόμενο των ΣΣΕ μπορούν και πάλι να αποτελούν περιεχόμενο </w:t>
      </w:r>
      <w:r w:rsidR="008949ED" w:rsidRPr="008949ED">
        <w:rPr>
          <w:rFonts w:asciiTheme="majorHAnsi" w:hAnsiTheme="majorHAnsi"/>
          <w:b/>
          <w:sz w:val="28"/>
          <w:szCs w:val="28"/>
          <w:u w:val="single"/>
        </w:rPr>
        <w:t>των Δ.Α.</w:t>
      </w:r>
      <w:r w:rsidR="008949ED">
        <w:rPr>
          <w:rFonts w:asciiTheme="majorHAnsi" w:hAnsiTheme="majorHAnsi"/>
          <w:sz w:val="28"/>
          <w:szCs w:val="28"/>
        </w:rPr>
        <w:t xml:space="preserve"> Ο βασικός μισθός ή/ και το ημερομίσθιο δεν αποτελεί πλέον το μοναδικό αντικείμενο ρύθμισής τους.</w:t>
      </w:r>
      <w:r w:rsidR="008949ED">
        <w:rPr>
          <w:rFonts w:asciiTheme="majorHAnsi" w:hAnsiTheme="majorHAnsi"/>
          <w:sz w:val="28"/>
          <w:szCs w:val="28"/>
        </w:rPr>
        <w:br/>
      </w:r>
      <w:r w:rsidR="008949ED">
        <w:rPr>
          <w:rFonts w:asciiTheme="majorHAnsi" w:hAnsiTheme="majorHAnsi"/>
          <w:sz w:val="28"/>
          <w:szCs w:val="28"/>
        </w:rPr>
        <w:br/>
      </w:r>
      <w:r w:rsidR="008949ED">
        <w:rPr>
          <w:rFonts w:asciiTheme="majorHAnsi" w:hAnsiTheme="majorHAnsi"/>
          <w:b/>
          <w:sz w:val="32"/>
          <w:szCs w:val="28"/>
          <w:u w:val="single"/>
        </w:rPr>
        <w:t>Οι τροποποιήσεις του 4303/14</w:t>
      </w:r>
      <w:r w:rsidR="0035673B">
        <w:rPr>
          <w:rFonts w:asciiTheme="majorHAnsi" w:hAnsiTheme="majorHAnsi"/>
          <w:b/>
          <w:sz w:val="32"/>
          <w:szCs w:val="28"/>
          <w:u w:val="single"/>
        </w:rPr>
        <w:t xml:space="preserve"> στο θεσμό της διαιτησίας</w:t>
      </w:r>
    </w:p>
    <w:p w:rsidR="00743E4B" w:rsidRDefault="00743E4B" w:rsidP="00D4150F">
      <w:pPr>
        <w:spacing w:line="240" w:lineRule="auto"/>
        <w:rPr>
          <w:rFonts w:asciiTheme="majorHAnsi" w:hAnsiTheme="majorHAnsi"/>
          <w:sz w:val="28"/>
          <w:szCs w:val="28"/>
        </w:rPr>
      </w:pPr>
      <w:r>
        <w:rPr>
          <w:rFonts w:asciiTheme="majorHAnsi" w:hAnsiTheme="majorHAnsi"/>
          <w:sz w:val="28"/>
          <w:szCs w:val="28"/>
        </w:rPr>
        <w:t xml:space="preserve">Οι αλλαγές που επέφερε ο 4303/14 κρίνονται ιδιαιτέρως σημαντικές, αφού </w:t>
      </w:r>
      <w:r w:rsidRPr="00743E4B">
        <w:rPr>
          <w:rFonts w:asciiTheme="majorHAnsi" w:hAnsiTheme="majorHAnsi"/>
          <w:b/>
          <w:sz w:val="28"/>
          <w:szCs w:val="28"/>
        </w:rPr>
        <w:t>επανήλθε η δυνατότητα μονομερούς προσφυγής</w:t>
      </w:r>
      <w:r>
        <w:rPr>
          <w:rFonts w:asciiTheme="majorHAnsi" w:hAnsiTheme="majorHAnsi"/>
          <w:b/>
          <w:sz w:val="28"/>
          <w:szCs w:val="28"/>
        </w:rPr>
        <w:t xml:space="preserve">, </w:t>
      </w:r>
      <w:r>
        <w:rPr>
          <w:rFonts w:asciiTheme="majorHAnsi" w:hAnsiTheme="majorHAnsi"/>
          <w:sz w:val="28"/>
          <w:szCs w:val="28"/>
        </w:rPr>
        <w:t>ενώ ταυτόχρονα τροποποιήθηκε εν μέρει και η διαδικασία. Σημαντικότατη προς αυτή την κατεύθυνση ήταν η απόφαση 2307/14 της Ολ. ΣτΕ, η οποία έκρινε ως αντισυνταγματική την</w:t>
      </w:r>
      <w:r w:rsidR="006A3444">
        <w:rPr>
          <w:rFonts w:asciiTheme="majorHAnsi" w:hAnsiTheme="majorHAnsi"/>
          <w:sz w:val="28"/>
          <w:szCs w:val="28"/>
        </w:rPr>
        <w:t xml:space="preserve"> προηγούμενη, με το</w:t>
      </w:r>
      <w:r w:rsidR="009F7559">
        <w:rPr>
          <w:rFonts w:asciiTheme="majorHAnsi" w:hAnsiTheme="majorHAnsi"/>
          <w:sz w:val="28"/>
          <w:szCs w:val="28"/>
        </w:rPr>
        <w:t>ν μνημονιακό</w:t>
      </w:r>
      <w:r w:rsidR="006A3444">
        <w:rPr>
          <w:rFonts w:asciiTheme="majorHAnsi" w:hAnsiTheme="majorHAnsi"/>
          <w:sz w:val="28"/>
          <w:szCs w:val="28"/>
        </w:rPr>
        <w:t xml:space="preserve"> ν.</w:t>
      </w:r>
      <w:r w:rsidR="006A3444" w:rsidRPr="006A3444">
        <w:rPr>
          <w:rFonts w:asciiTheme="majorHAnsi" w:hAnsiTheme="majorHAnsi" w:cs="Arial"/>
          <w:color w:val="111111"/>
          <w:sz w:val="28"/>
          <w:szCs w:val="21"/>
          <w:shd w:val="clear" w:color="auto" w:fill="FFFFFF"/>
        </w:rPr>
        <w:t>4046/2012</w:t>
      </w:r>
      <w:r w:rsidR="006A3444">
        <w:rPr>
          <w:rFonts w:asciiTheme="majorHAnsi" w:hAnsiTheme="majorHAnsi"/>
          <w:sz w:val="28"/>
          <w:szCs w:val="28"/>
        </w:rPr>
        <w:t>,</w:t>
      </w:r>
      <w:r>
        <w:rPr>
          <w:rFonts w:asciiTheme="majorHAnsi" w:hAnsiTheme="majorHAnsi"/>
          <w:sz w:val="28"/>
          <w:szCs w:val="28"/>
        </w:rPr>
        <w:t xml:space="preserve"> κατάργηση της δυνατότητας μονομερούς προσφυγής στη διαιτησία μετά την αποτυχία σύναψης ΣΣΕ.</w:t>
      </w:r>
      <w:r w:rsidR="006A3444">
        <w:rPr>
          <w:rFonts w:asciiTheme="majorHAnsi" w:hAnsiTheme="majorHAnsi"/>
          <w:sz w:val="28"/>
          <w:szCs w:val="28"/>
        </w:rPr>
        <w:t xml:space="preserve"> Τι προβλέπεται πλέον</w:t>
      </w:r>
      <w:r w:rsidR="009F7559">
        <w:rPr>
          <w:rFonts w:asciiTheme="majorHAnsi" w:hAnsiTheme="majorHAnsi"/>
          <w:sz w:val="28"/>
          <w:szCs w:val="28"/>
        </w:rPr>
        <w:t xml:space="preserve"> και τι αλλάζει</w:t>
      </w:r>
      <w:r w:rsidR="006A3444">
        <w:rPr>
          <w:rFonts w:asciiTheme="majorHAnsi" w:hAnsiTheme="majorHAnsi"/>
          <w:sz w:val="28"/>
          <w:szCs w:val="28"/>
        </w:rPr>
        <w:t>;</w:t>
      </w:r>
    </w:p>
    <w:p w:rsidR="006A3444" w:rsidRPr="006A3444" w:rsidRDefault="006A3444" w:rsidP="006A3444">
      <w:pPr>
        <w:spacing w:line="240" w:lineRule="auto"/>
        <w:ind w:firstLine="0"/>
        <w:rPr>
          <w:rFonts w:asciiTheme="majorHAnsi" w:hAnsiTheme="majorHAnsi"/>
          <w:b/>
          <w:sz w:val="28"/>
          <w:szCs w:val="28"/>
        </w:rPr>
      </w:pPr>
      <w:r>
        <w:rPr>
          <w:rFonts w:asciiTheme="majorHAnsi" w:hAnsiTheme="majorHAnsi"/>
          <w:b/>
          <w:sz w:val="28"/>
          <w:szCs w:val="28"/>
        </w:rPr>
        <w:t>1)</w:t>
      </w:r>
      <w:r w:rsidRPr="006A3444">
        <w:rPr>
          <w:rFonts w:asciiTheme="majorHAnsi" w:hAnsiTheme="majorHAnsi"/>
          <w:b/>
          <w:sz w:val="28"/>
          <w:szCs w:val="28"/>
          <w:u w:val="single"/>
        </w:rPr>
        <w:t>Δυνατότητα μονομερούς προσφυγής</w:t>
      </w:r>
    </w:p>
    <w:p w:rsidR="008358B3" w:rsidRDefault="008358B3" w:rsidP="008358B3">
      <w:pPr>
        <w:spacing w:line="240" w:lineRule="auto"/>
        <w:rPr>
          <w:rFonts w:asciiTheme="majorHAnsi" w:hAnsiTheme="majorHAnsi"/>
          <w:sz w:val="28"/>
          <w:szCs w:val="28"/>
        </w:rPr>
      </w:pPr>
      <w:r>
        <w:rPr>
          <w:rFonts w:asciiTheme="majorHAnsi" w:hAnsiTheme="majorHAnsi"/>
          <w:sz w:val="28"/>
          <w:szCs w:val="28"/>
        </w:rPr>
        <w:t>Η νέα διατύπωση του αρ. 16 παρ.2 του ν.1876/90 προβλέπει ότι είναι δυνατή η προσφυγή στη διαιτησία μονομερώς στις εξής περιπτώσεις</w:t>
      </w:r>
      <w:r w:rsidRPr="008358B3">
        <w:rPr>
          <w:rFonts w:asciiTheme="majorHAnsi" w:hAnsiTheme="majorHAnsi"/>
          <w:sz w:val="28"/>
          <w:szCs w:val="28"/>
        </w:rPr>
        <w:t>:</w:t>
      </w:r>
      <w:r w:rsidR="006A3444">
        <w:rPr>
          <w:rFonts w:asciiTheme="majorHAnsi" w:hAnsiTheme="majorHAnsi"/>
          <w:sz w:val="28"/>
          <w:szCs w:val="28"/>
        </w:rPr>
        <w:br/>
      </w:r>
      <w:r>
        <w:rPr>
          <w:rFonts w:asciiTheme="majorHAnsi" w:hAnsiTheme="majorHAnsi"/>
          <w:b/>
          <w:sz w:val="32"/>
          <w:szCs w:val="28"/>
        </w:rPr>
        <w:t xml:space="preserve"> </w:t>
      </w:r>
      <w:r>
        <w:rPr>
          <w:rFonts w:asciiTheme="majorHAnsi" w:hAnsiTheme="majorHAnsi"/>
          <w:sz w:val="28"/>
          <w:szCs w:val="28"/>
        </w:rPr>
        <w:t xml:space="preserve">α) </w:t>
      </w:r>
      <w:r w:rsidRPr="009F7559">
        <w:rPr>
          <w:rFonts w:asciiTheme="majorHAnsi" w:hAnsiTheme="majorHAnsi"/>
          <w:sz w:val="28"/>
          <w:szCs w:val="28"/>
          <w:u w:val="single"/>
        </w:rPr>
        <w:t>από οποιοδήποτε μέρος, εφόσον το άλλο μέρος αρνήθηκε τη μεσολάβηση</w:t>
      </w:r>
      <w:r>
        <w:rPr>
          <w:rFonts w:asciiTheme="majorHAnsi" w:hAnsiTheme="majorHAnsi"/>
          <w:sz w:val="28"/>
          <w:szCs w:val="28"/>
        </w:rPr>
        <w:t xml:space="preserve"> και </w:t>
      </w:r>
      <w:r>
        <w:rPr>
          <w:rFonts w:asciiTheme="majorHAnsi" w:hAnsiTheme="majorHAnsi"/>
          <w:sz w:val="28"/>
          <w:szCs w:val="28"/>
        </w:rPr>
        <w:br/>
      </w:r>
      <w:r>
        <w:rPr>
          <w:rFonts w:asciiTheme="majorHAnsi" w:hAnsiTheme="majorHAnsi"/>
          <w:sz w:val="28"/>
          <w:szCs w:val="28"/>
        </w:rPr>
        <w:lastRenderedPageBreak/>
        <w:t xml:space="preserve">β) </w:t>
      </w:r>
      <w:r w:rsidRPr="009F7559">
        <w:rPr>
          <w:rFonts w:asciiTheme="majorHAnsi" w:hAnsiTheme="majorHAnsi"/>
          <w:sz w:val="28"/>
          <w:szCs w:val="28"/>
          <w:u w:val="single"/>
        </w:rPr>
        <w:t>από οποιδήποτε μέρος μετά την υποβολή πρότασης μεσολάβησης</w:t>
      </w:r>
      <w:r w:rsidR="009F7559">
        <w:rPr>
          <w:rFonts w:asciiTheme="majorHAnsi" w:hAnsiTheme="majorHAnsi"/>
          <w:sz w:val="28"/>
          <w:szCs w:val="28"/>
          <w:u w:val="single"/>
        </w:rPr>
        <w:t xml:space="preserve"> </w:t>
      </w:r>
      <w:r w:rsidR="009F7559" w:rsidRPr="009F7559">
        <w:rPr>
          <w:rFonts w:asciiTheme="majorHAnsi" w:hAnsiTheme="majorHAnsi"/>
          <w:sz w:val="28"/>
          <w:szCs w:val="28"/>
        </w:rPr>
        <w:t>(η υποβολή της οποίας είναι πλέον υποχρεωτική)</w:t>
      </w:r>
      <w:r w:rsidRPr="009F7559">
        <w:rPr>
          <w:rFonts w:asciiTheme="majorHAnsi" w:hAnsiTheme="majorHAnsi"/>
          <w:sz w:val="28"/>
          <w:szCs w:val="28"/>
        </w:rPr>
        <w:t xml:space="preserve"> </w:t>
      </w:r>
    </w:p>
    <w:p w:rsidR="008358B3" w:rsidRDefault="009F7559" w:rsidP="008358B3">
      <w:pPr>
        <w:spacing w:line="240" w:lineRule="auto"/>
        <w:rPr>
          <w:rFonts w:asciiTheme="majorHAnsi" w:hAnsiTheme="majorHAnsi"/>
          <w:sz w:val="28"/>
          <w:szCs w:val="28"/>
        </w:rPr>
      </w:pPr>
      <w:r>
        <w:rPr>
          <w:rFonts w:asciiTheme="majorHAnsi" w:hAnsiTheme="majorHAnsi"/>
          <w:sz w:val="28"/>
          <w:szCs w:val="28"/>
        </w:rPr>
        <w:t xml:space="preserve">Έτσι, </w:t>
      </w:r>
      <w:r w:rsidR="008358B3">
        <w:rPr>
          <w:rFonts w:asciiTheme="majorHAnsi" w:hAnsiTheme="majorHAnsi"/>
          <w:sz w:val="28"/>
          <w:szCs w:val="28"/>
        </w:rPr>
        <w:t>ακόμα κι αν το ένα από τα 2 μέρη προβάλει παράλογες απαιτήσεις με σκοπό την αποτυχία ακριβώς των πρότερων διαπραγματεύσεων, στη συνέχεια μπορεί να προσφύγει</w:t>
      </w:r>
      <w:r>
        <w:rPr>
          <w:rFonts w:asciiTheme="majorHAnsi" w:hAnsiTheme="majorHAnsi"/>
          <w:sz w:val="28"/>
          <w:szCs w:val="28"/>
        </w:rPr>
        <w:t xml:space="preserve"> κανονικότατα</w:t>
      </w:r>
      <w:r w:rsidR="008358B3">
        <w:rPr>
          <w:rFonts w:asciiTheme="majorHAnsi" w:hAnsiTheme="majorHAnsi"/>
          <w:sz w:val="28"/>
          <w:szCs w:val="28"/>
        </w:rPr>
        <w:t xml:space="preserve"> στη διαιτησία για επίλυση της διαφοράς. Αυτό βέβαια ενέχει τον κίνδυνο της δέσμευσης από την απόφαση ενός τρίτου που μπορεί ή όχι να ικανοποιεί το μέρος που προσέφυγε στη διαιτησία. </w:t>
      </w:r>
      <w:r w:rsidR="008358B3">
        <w:rPr>
          <w:rFonts w:asciiTheme="majorHAnsi" w:hAnsiTheme="majorHAnsi"/>
          <w:sz w:val="28"/>
          <w:szCs w:val="28"/>
        </w:rPr>
        <w:br/>
      </w:r>
      <w:r w:rsidR="008358B3">
        <w:rPr>
          <w:rFonts w:asciiTheme="majorHAnsi" w:hAnsiTheme="majorHAnsi"/>
          <w:sz w:val="28"/>
          <w:szCs w:val="28"/>
        </w:rPr>
        <w:br/>
        <w:t xml:space="preserve"> </w:t>
      </w:r>
      <w:r w:rsidR="00DD6FA0">
        <w:rPr>
          <w:rFonts w:asciiTheme="majorHAnsi" w:hAnsiTheme="majorHAnsi"/>
          <w:b/>
          <w:sz w:val="28"/>
          <w:szCs w:val="28"/>
        </w:rPr>
        <w:t>2)</w:t>
      </w:r>
      <w:r w:rsidR="00DD6FA0">
        <w:rPr>
          <w:rFonts w:asciiTheme="majorHAnsi" w:hAnsiTheme="majorHAnsi"/>
          <w:b/>
          <w:sz w:val="28"/>
          <w:szCs w:val="28"/>
          <w:u w:val="single"/>
        </w:rPr>
        <w:t xml:space="preserve"> Ένας διαιτητής ή Τριμελής επιτροπή</w:t>
      </w:r>
    </w:p>
    <w:p w:rsidR="00DD6FA0" w:rsidRDefault="009F7559" w:rsidP="008358B3">
      <w:pPr>
        <w:spacing w:line="240" w:lineRule="auto"/>
        <w:rPr>
          <w:rFonts w:asciiTheme="majorHAnsi" w:hAnsiTheme="majorHAnsi"/>
          <w:sz w:val="28"/>
          <w:szCs w:val="28"/>
        </w:rPr>
      </w:pPr>
      <w:r>
        <w:rPr>
          <w:rFonts w:asciiTheme="majorHAnsi" w:hAnsiTheme="majorHAnsi"/>
          <w:sz w:val="28"/>
          <w:szCs w:val="28"/>
        </w:rPr>
        <w:t>Η</w:t>
      </w:r>
      <w:r w:rsidR="00DD6FA0">
        <w:rPr>
          <w:rFonts w:asciiTheme="majorHAnsi" w:hAnsiTheme="majorHAnsi"/>
          <w:sz w:val="28"/>
          <w:szCs w:val="28"/>
        </w:rPr>
        <w:t xml:space="preserve"> επίλυση της διαφοράς </w:t>
      </w:r>
      <w:r>
        <w:rPr>
          <w:rFonts w:asciiTheme="majorHAnsi" w:hAnsiTheme="majorHAnsi"/>
          <w:sz w:val="28"/>
          <w:szCs w:val="28"/>
        </w:rPr>
        <w:t>γινόταν μέχρι πρότινος από έναν διαιτητή, ο οποίος διοριζόταν κατόπιν συμφωνίας των μερών ή μετά από κλήρωση</w:t>
      </w:r>
      <w:r w:rsidR="00DD6FA0">
        <w:rPr>
          <w:rFonts w:asciiTheme="majorHAnsi" w:hAnsiTheme="majorHAnsi"/>
          <w:sz w:val="28"/>
          <w:szCs w:val="28"/>
        </w:rPr>
        <w:t>.</w:t>
      </w:r>
      <w:r>
        <w:rPr>
          <w:rFonts w:asciiTheme="majorHAnsi" w:hAnsiTheme="majorHAnsi"/>
          <w:sz w:val="28"/>
          <w:szCs w:val="28"/>
        </w:rPr>
        <w:t xml:space="preserve"> Πλέον, προβλέπεται και η σύσταση Τριμελούς επιτροπής διαιτησίας. Η διαφορά οδηγείται ενώπιον τριμελούς επιτροπής και όχι ενός διαιτητή</w:t>
      </w:r>
      <w:r w:rsidRPr="009F7559">
        <w:rPr>
          <w:rFonts w:asciiTheme="majorHAnsi" w:hAnsiTheme="majorHAnsi"/>
          <w:sz w:val="28"/>
          <w:szCs w:val="28"/>
        </w:rPr>
        <w:t>:</w:t>
      </w:r>
      <w:r w:rsidRPr="009F7559">
        <w:rPr>
          <w:rFonts w:asciiTheme="majorHAnsi" w:hAnsiTheme="majorHAnsi"/>
          <w:sz w:val="28"/>
          <w:szCs w:val="28"/>
        </w:rPr>
        <w:br/>
      </w:r>
      <w:r>
        <w:rPr>
          <w:rFonts w:asciiTheme="majorHAnsi" w:hAnsiTheme="majorHAnsi"/>
          <w:sz w:val="28"/>
          <w:szCs w:val="28"/>
        </w:rPr>
        <w:t>α) αν το ζητήσει ένα από τα μέρη</w:t>
      </w:r>
      <w:r>
        <w:rPr>
          <w:rFonts w:asciiTheme="majorHAnsi" w:hAnsiTheme="majorHAnsi"/>
          <w:sz w:val="28"/>
          <w:szCs w:val="28"/>
        </w:rPr>
        <w:br/>
        <w:t>β</w:t>
      </w:r>
      <w:r w:rsidRPr="009F7559">
        <w:rPr>
          <w:rFonts w:asciiTheme="majorHAnsi" w:hAnsiTheme="majorHAnsi"/>
          <w:sz w:val="28"/>
          <w:szCs w:val="28"/>
          <w:u w:val="single"/>
        </w:rPr>
        <w:t xml:space="preserve">) </w:t>
      </w:r>
      <w:r w:rsidRPr="009F7559">
        <w:rPr>
          <w:rFonts w:asciiTheme="majorHAnsi" w:hAnsiTheme="majorHAnsi"/>
          <w:b/>
          <w:sz w:val="28"/>
          <w:szCs w:val="28"/>
          <w:u w:val="single"/>
        </w:rPr>
        <w:t>υποχρεωτικά</w:t>
      </w:r>
      <w:r w:rsidRPr="009F7559">
        <w:rPr>
          <w:rFonts w:asciiTheme="majorHAnsi" w:hAnsiTheme="majorHAnsi"/>
          <w:sz w:val="28"/>
          <w:szCs w:val="28"/>
          <w:u w:val="single"/>
        </w:rPr>
        <w:t>, στην περίπτωση μονομερούς προσφυγής που αναλύσαμε μόλις πριν</w:t>
      </w:r>
      <w:r>
        <w:rPr>
          <w:rFonts w:asciiTheme="majorHAnsi" w:hAnsiTheme="majorHAnsi"/>
          <w:sz w:val="28"/>
          <w:szCs w:val="28"/>
        </w:rPr>
        <w:t>.</w:t>
      </w:r>
      <w:r w:rsidR="00DD6FA0">
        <w:rPr>
          <w:rFonts w:asciiTheme="majorHAnsi" w:hAnsiTheme="majorHAnsi"/>
          <w:sz w:val="28"/>
          <w:szCs w:val="28"/>
        </w:rPr>
        <w:t xml:space="preserve">  Έτσι, αν π.χ. προσφύγει στη διαιτησία μονομερώς η συνδικαλιστική οργάνωση των εργαζομένων, στην περίπτωση αυτή η διαφορά </w:t>
      </w:r>
      <w:r w:rsidR="00DD6FA0" w:rsidRPr="009F7559">
        <w:rPr>
          <w:rFonts w:asciiTheme="majorHAnsi" w:hAnsiTheme="majorHAnsi"/>
          <w:sz w:val="28"/>
          <w:szCs w:val="28"/>
          <w:u w:val="single"/>
        </w:rPr>
        <w:t>θα οδηγηθεί ενώπιον τριμελούς επιτροπής</w:t>
      </w:r>
      <w:r>
        <w:rPr>
          <w:rFonts w:asciiTheme="majorHAnsi" w:hAnsiTheme="majorHAnsi"/>
          <w:sz w:val="28"/>
          <w:szCs w:val="28"/>
        </w:rPr>
        <w:t xml:space="preserve">. Τα μέλη της επιτροπής </w:t>
      </w:r>
      <w:r w:rsidR="00DD6FA0">
        <w:rPr>
          <w:rFonts w:asciiTheme="majorHAnsi" w:hAnsiTheme="majorHAnsi"/>
          <w:sz w:val="28"/>
          <w:szCs w:val="28"/>
        </w:rPr>
        <w:t>ορίζονται με συμφωνία των μερών ή</w:t>
      </w:r>
      <w:r w:rsidR="00A31E8C">
        <w:rPr>
          <w:rFonts w:asciiTheme="majorHAnsi" w:hAnsiTheme="majorHAnsi"/>
          <w:sz w:val="28"/>
          <w:szCs w:val="28"/>
        </w:rPr>
        <w:t xml:space="preserve"> με κλήρωση κατά τη γνωστή διαδικασία. </w:t>
      </w:r>
      <w:r w:rsidR="00A31E8C">
        <w:rPr>
          <w:rFonts w:asciiTheme="majorHAnsi" w:hAnsiTheme="majorHAnsi"/>
          <w:sz w:val="28"/>
          <w:szCs w:val="28"/>
        </w:rPr>
        <w:br/>
      </w:r>
      <w:r w:rsidR="00A31E8C">
        <w:rPr>
          <w:rFonts w:asciiTheme="majorHAnsi" w:hAnsiTheme="majorHAnsi"/>
          <w:sz w:val="28"/>
          <w:szCs w:val="28"/>
        </w:rPr>
        <w:br/>
      </w:r>
      <w:r w:rsidR="00A31E8C">
        <w:rPr>
          <w:rFonts w:asciiTheme="majorHAnsi" w:hAnsiTheme="majorHAnsi"/>
          <w:sz w:val="28"/>
          <w:szCs w:val="28"/>
        </w:rPr>
        <w:br/>
      </w:r>
      <w:r w:rsidR="00A31E8C">
        <w:rPr>
          <w:rFonts w:asciiTheme="majorHAnsi" w:hAnsiTheme="majorHAnsi"/>
          <w:b/>
          <w:sz w:val="28"/>
          <w:szCs w:val="28"/>
        </w:rPr>
        <w:t>3)</w:t>
      </w:r>
      <w:r w:rsidR="00A31E8C">
        <w:rPr>
          <w:rFonts w:asciiTheme="majorHAnsi" w:hAnsiTheme="majorHAnsi"/>
          <w:b/>
          <w:sz w:val="28"/>
          <w:szCs w:val="28"/>
          <w:u w:val="single"/>
        </w:rPr>
        <w:t xml:space="preserve"> </w:t>
      </w:r>
      <w:r w:rsidR="00E668FE">
        <w:rPr>
          <w:rFonts w:asciiTheme="majorHAnsi" w:hAnsiTheme="majorHAnsi"/>
          <w:b/>
          <w:sz w:val="28"/>
          <w:szCs w:val="28"/>
          <w:u w:val="single"/>
        </w:rPr>
        <w:t>Ποια στοιχεία λαμβάνει υπόψην του ο διαιτητής;</w:t>
      </w:r>
    </w:p>
    <w:p w:rsidR="00E668FE" w:rsidRDefault="00E668FE" w:rsidP="008358B3">
      <w:pPr>
        <w:spacing w:line="240" w:lineRule="auto"/>
        <w:rPr>
          <w:rFonts w:asciiTheme="majorHAnsi" w:hAnsiTheme="majorHAnsi"/>
          <w:sz w:val="28"/>
          <w:szCs w:val="28"/>
        </w:rPr>
      </w:pPr>
      <w:r>
        <w:rPr>
          <w:rFonts w:asciiTheme="majorHAnsi" w:hAnsiTheme="majorHAnsi"/>
          <w:sz w:val="28"/>
          <w:szCs w:val="28"/>
        </w:rPr>
        <w:t xml:space="preserve">Ο </w:t>
      </w:r>
      <w:r w:rsidR="002012BD">
        <w:rPr>
          <w:rFonts w:asciiTheme="majorHAnsi" w:hAnsiTheme="majorHAnsi"/>
          <w:sz w:val="28"/>
          <w:szCs w:val="28"/>
        </w:rPr>
        <w:t>διαιτητής  μελετά όλα τα στοιχεία</w:t>
      </w:r>
      <w:r>
        <w:rPr>
          <w:rFonts w:asciiTheme="majorHAnsi" w:hAnsiTheme="majorHAnsi"/>
          <w:sz w:val="28"/>
          <w:szCs w:val="28"/>
        </w:rPr>
        <w:t xml:space="preserve"> που συγκεντρώθηκαν κατά τη μεσολάβηση</w:t>
      </w:r>
      <w:r w:rsidR="002012BD">
        <w:rPr>
          <w:rFonts w:asciiTheme="majorHAnsi" w:hAnsiTheme="majorHAnsi"/>
          <w:sz w:val="28"/>
          <w:szCs w:val="28"/>
        </w:rPr>
        <w:t>,</w:t>
      </w:r>
      <w:r>
        <w:rPr>
          <w:rFonts w:asciiTheme="majorHAnsi" w:hAnsiTheme="majorHAnsi"/>
          <w:sz w:val="28"/>
          <w:szCs w:val="28"/>
        </w:rPr>
        <w:t xml:space="preserve"> </w:t>
      </w:r>
      <w:r w:rsidR="002012BD">
        <w:rPr>
          <w:rFonts w:asciiTheme="majorHAnsi" w:hAnsiTheme="majorHAnsi"/>
          <w:sz w:val="28"/>
          <w:szCs w:val="28"/>
        </w:rPr>
        <w:t>καθώς και</w:t>
      </w:r>
      <w:r>
        <w:rPr>
          <w:rFonts w:asciiTheme="majorHAnsi" w:hAnsiTheme="majorHAnsi"/>
          <w:sz w:val="28"/>
          <w:szCs w:val="28"/>
        </w:rPr>
        <w:t xml:space="preserve"> τα πρόσθετα που συγκεντρώθηκαν στη διαδικασία της διαιτησίας. Αποφασιστικά κριτήρια</w:t>
      </w:r>
      <w:r w:rsidR="003314D3">
        <w:rPr>
          <w:rFonts w:asciiTheme="majorHAnsi" w:hAnsiTheme="majorHAnsi"/>
          <w:sz w:val="28"/>
          <w:szCs w:val="28"/>
        </w:rPr>
        <w:t xml:space="preserve"> για τη διαμόρφωση της </w:t>
      </w:r>
      <w:r w:rsidR="002012BD">
        <w:rPr>
          <w:rFonts w:asciiTheme="majorHAnsi" w:hAnsiTheme="majorHAnsi"/>
          <w:sz w:val="28"/>
          <w:szCs w:val="28"/>
        </w:rPr>
        <w:t>κρίσεώς του για τη ρύθμιση των όρων εργασίας ,</w:t>
      </w:r>
      <w:r>
        <w:rPr>
          <w:rFonts w:asciiTheme="majorHAnsi" w:hAnsiTheme="majorHAnsi"/>
          <w:sz w:val="28"/>
          <w:szCs w:val="28"/>
        </w:rPr>
        <w:t xml:space="preserve"> αποτελούν η οικονομική κατάσταση, η κατάσταση και εξέλιξη της ανταγωνιστικότητας της επιχείρησης , καθώς και το κόστος εργασίας σχετικά με τα υπόλοιπα χρηματοοικονομικά στοιχεία της συγκεκριμένης διαφοράς.  Εφόσον πρόκειται για απόφαση που θα ρυθμίσει διαφορά σε ευρύτερο επίπεδο από την επιχείρηση (π.χ. κλαδικό ) τότε ο διαιτητής θα λαμβάνει υπόψην του, κατά την εκτίμηση των στοιχείων, την οικονομική κατάσταση και ανταγωνιστικότητα όχι μιας μέσης επιχείρησης του κλάδου </w:t>
      </w:r>
      <w:r w:rsidRPr="003314D3">
        <w:rPr>
          <w:rFonts w:asciiTheme="majorHAnsi" w:hAnsiTheme="majorHAnsi"/>
          <w:b/>
          <w:sz w:val="28"/>
          <w:szCs w:val="28"/>
        </w:rPr>
        <w:t>αλλά των οικονομικά ασθενέστερων</w:t>
      </w:r>
      <w:r>
        <w:rPr>
          <w:rFonts w:asciiTheme="majorHAnsi" w:hAnsiTheme="majorHAnsi"/>
          <w:sz w:val="28"/>
          <w:szCs w:val="28"/>
        </w:rPr>
        <w:t xml:space="preserve">. </w:t>
      </w:r>
      <w:r w:rsidR="003314D3">
        <w:rPr>
          <w:rFonts w:asciiTheme="majorHAnsi" w:hAnsiTheme="majorHAnsi"/>
          <w:sz w:val="28"/>
          <w:szCs w:val="28"/>
        </w:rPr>
        <w:t xml:space="preserve"> Η πρόβλεψη αυτή κρίνεται εύλογη, αφού σε αντίθετη περίπτωση πολλές μικρομεσαίες επιχειρήσεις πιθανότατα να επιβαρύνονταν υπέρμετρα από όρους </w:t>
      </w:r>
      <w:r w:rsidR="003314D3">
        <w:rPr>
          <w:rFonts w:asciiTheme="majorHAnsi" w:hAnsiTheme="majorHAnsi"/>
          <w:sz w:val="28"/>
          <w:szCs w:val="28"/>
        </w:rPr>
        <w:lastRenderedPageBreak/>
        <w:t xml:space="preserve">ΣΣΕ που δεν θα μπορούσαν εκ των προτέρων να τηρήσουν. </w:t>
      </w:r>
      <w:r w:rsidR="003314D3">
        <w:rPr>
          <w:rFonts w:asciiTheme="majorHAnsi" w:hAnsiTheme="majorHAnsi"/>
          <w:sz w:val="28"/>
          <w:szCs w:val="28"/>
        </w:rPr>
        <w:br/>
      </w:r>
      <w:r w:rsidR="003314D3">
        <w:rPr>
          <w:rFonts w:asciiTheme="majorHAnsi" w:hAnsiTheme="majorHAnsi"/>
          <w:sz w:val="28"/>
          <w:szCs w:val="28"/>
        </w:rPr>
        <w:br/>
      </w:r>
      <w:r w:rsidR="003314D3">
        <w:rPr>
          <w:rFonts w:asciiTheme="majorHAnsi" w:hAnsiTheme="majorHAnsi"/>
          <w:b/>
          <w:sz w:val="28"/>
          <w:szCs w:val="28"/>
        </w:rPr>
        <w:t>4)</w:t>
      </w:r>
      <w:r w:rsidR="003314D3">
        <w:rPr>
          <w:rFonts w:asciiTheme="majorHAnsi" w:hAnsiTheme="majorHAnsi"/>
          <w:b/>
          <w:sz w:val="28"/>
          <w:szCs w:val="28"/>
          <w:u w:val="single"/>
        </w:rPr>
        <w:t xml:space="preserve"> Αιτιολογία των Δ.Α.</w:t>
      </w:r>
    </w:p>
    <w:p w:rsidR="003314D3" w:rsidRDefault="003314D3" w:rsidP="008358B3">
      <w:pPr>
        <w:spacing w:line="240" w:lineRule="auto"/>
        <w:rPr>
          <w:rFonts w:asciiTheme="majorHAnsi" w:hAnsiTheme="majorHAnsi"/>
          <w:sz w:val="28"/>
          <w:szCs w:val="28"/>
        </w:rPr>
      </w:pPr>
      <w:r>
        <w:rPr>
          <w:rFonts w:asciiTheme="majorHAnsi" w:hAnsiTheme="majorHAnsi"/>
          <w:sz w:val="28"/>
          <w:szCs w:val="28"/>
        </w:rPr>
        <w:t xml:space="preserve">Το άρθρο 16 παρ. 6 ν.1876/90, όπως αυτό αντικαταστάθηκε από το αρ. 4 του ν. 4303/14, ορίζει στο εξής ότι η Δ.Α. πρέπει να είναι </w:t>
      </w:r>
      <w:r w:rsidRPr="003314D3">
        <w:rPr>
          <w:rFonts w:asciiTheme="majorHAnsi" w:hAnsiTheme="majorHAnsi"/>
          <w:b/>
          <w:sz w:val="28"/>
          <w:szCs w:val="28"/>
        </w:rPr>
        <w:t>πλήρως τεκμηριωμένη και αιτιολογημένη</w:t>
      </w:r>
      <w:r>
        <w:rPr>
          <w:rFonts w:asciiTheme="majorHAnsi" w:hAnsiTheme="majorHAnsi"/>
          <w:b/>
          <w:sz w:val="28"/>
          <w:szCs w:val="28"/>
        </w:rPr>
        <w:t>.</w:t>
      </w:r>
      <w:r w:rsidR="004D6081">
        <w:rPr>
          <w:rFonts w:asciiTheme="majorHAnsi" w:hAnsiTheme="majorHAnsi"/>
          <w:sz w:val="28"/>
          <w:szCs w:val="28"/>
        </w:rPr>
        <w:t xml:space="preserve"> Οι όροι που τίθενται σε αυτή δεν δύνανται βέβαια να τροποποιούν ή να είναι αντίθετες με διατάξεις της κείμενης νομοθεσίας. Πλήρως αιτιολογημένη σημαίνει ότι ο διαιτητής πρέπει να παραθέσει όλα τα στοιχεία τα οποία έλαβε υπόψη του και τα οποία τον οδήγησαν στην απόφασή του.  Η πληρότητα της δικαιολογίας ελέγχεται πλέον και δικαστικά. </w:t>
      </w:r>
    </w:p>
    <w:p w:rsidR="004D6081" w:rsidRDefault="004D6081" w:rsidP="008358B3">
      <w:pPr>
        <w:spacing w:line="240" w:lineRule="auto"/>
        <w:rPr>
          <w:rFonts w:asciiTheme="majorHAnsi" w:hAnsiTheme="majorHAnsi"/>
          <w:sz w:val="28"/>
          <w:szCs w:val="28"/>
        </w:rPr>
      </w:pPr>
      <w:r>
        <w:rPr>
          <w:rFonts w:asciiTheme="majorHAnsi" w:hAnsiTheme="majorHAnsi"/>
          <w:sz w:val="28"/>
          <w:szCs w:val="28"/>
        </w:rPr>
        <w:t>Με τη σχετική ρύθμιση μπορούμε μετά βεβαιότητος να πούμε ότι η αιτιο</w:t>
      </w:r>
      <w:r w:rsidR="00EE36D3">
        <w:rPr>
          <w:rFonts w:asciiTheme="majorHAnsi" w:hAnsiTheme="majorHAnsi"/>
          <w:sz w:val="28"/>
          <w:szCs w:val="28"/>
        </w:rPr>
        <w:t>λογία</w:t>
      </w:r>
      <w:r w:rsidR="00224C8C">
        <w:rPr>
          <w:rFonts w:asciiTheme="majorHAnsi" w:hAnsiTheme="majorHAnsi"/>
          <w:sz w:val="28"/>
          <w:szCs w:val="28"/>
        </w:rPr>
        <w:t xml:space="preserve"> καθίσταται, κατά κάποιο τρόπο, προϋπόθεση του κύρους της Δ.Α. και αφορά την εσωτερική της νομιμότητα.</w:t>
      </w:r>
    </w:p>
    <w:p w:rsidR="00A31E8C" w:rsidRDefault="00224C8C" w:rsidP="008358B3">
      <w:pPr>
        <w:spacing w:line="240" w:lineRule="auto"/>
        <w:rPr>
          <w:rFonts w:asciiTheme="majorHAnsi" w:hAnsiTheme="majorHAnsi"/>
          <w:sz w:val="28"/>
          <w:szCs w:val="28"/>
        </w:rPr>
      </w:pPr>
      <w:r>
        <w:rPr>
          <w:rFonts w:asciiTheme="majorHAnsi" w:hAnsiTheme="majorHAnsi"/>
          <w:sz w:val="28"/>
          <w:szCs w:val="28"/>
        </w:rPr>
        <w:t xml:space="preserve">Στο αρ.7 παρ.3 του ν.1876/90 προβλέπεται ότι </w:t>
      </w:r>
      <w:r w:rsidRPr="009E597B">
        <w:rPr>
          <w:rFonts w:asciiTheme="majorHAnsi" w:hAnsiTheme="majorHAnsi"/>
          <w:sz w:val="28"/>
          <w:szCs w:val="28"/>
        </w:rPr>
        <w:t>οι όροι των ΣΣΕ που είναι ευνοϊκότεροι για τους εργαζομένους, υπερισχύουν των νόμων, εφόσον αυτοί δεν αποτελούν διατάξεις με αμφιμερώς αναγκαστική ενέργεια.</w:t>
      </w:r>
      <w:r>
        <w:rPr>
          <w:rFonts w:asciiTheme="majorHAnsi" w:hAnsiTheme="majorHAnsi"/>
          <w:sz w:val="28"/>
          <w:szCs w:val="28"/>
        </w:rPr>
        <w:t xml:space="preserve"> Αν και οι Δ.Α. εξομοιώνονται με ΣΣΕ,  μετά τη νέα ρύθμιση του 4303/14 </w:t>
      </w:r>
      <w:r w:rsidR="009E597B" w:rsidRPr="009E597B">
        <w:rPr>
          <w:rFonts w:asciiTheme="majorHAnsi" w:hAnsiTheme="majorHAnsi"/>
          <w:sz w:val="28"/>
          <w:szCs w:val="28"/>
          <w:u w:val="single"/>
        </w:rPr>
        <w:t>δεν μπορούν να έρχονται σε αντίθεση ή να τροποποιούν διατάξεις της εργατικής νομοθεσίας, παρά μόνο σε περίπτωση που αυτές ρητώς επιτρέπουν απόκλιση</w:t>
      </w:r>
      <w:r w:rsidR="009E597B">
        <w:rPr>
          <w:rFonts w:asciiTheme="majorHAnsi" w:hAnsiTheme="majorHAnsi"/>
          <w:sz w:val="28"/>
          <w:szCs w:val="28"/>
        </w:rPr>
        <w:t xml:space="preserve">. Πρακτικά αυτό σημαίνει ότι οποιαδήποτε απόκλιση επί τα βελτίω ή επί τα χείρω </w:t>
      </w:r>
      <w:r w:rsidR="009E597B" w:rsidRPr="0009236A">
        <w:rPr>
          <w:rFonts w:asciiTheme="majorHAnsi" w:hAnsiTheme="majorHAnsi"/>
          <w:sz w:val="28"/>
          <w:szCs w:val="28"/>
          <w:u w:val="single"/>
        </w:rPr>
        <w:t>θα πρέπει να επιτρέπεται από την κείμενη νομοθεσία</w:t>
      </w:r>
      <w:r w:rsidR="009E597B">
        <w:rPr>
          <w:rFonts w:asciiTheme="majorHAnsi" w:hAnsiTheme="majorHAnsi"/>
          <w:sz w:val="28"/>
          <w:szCs w:val="28"/>
        </w:rPr>
        <w:t xml:space="preserve">. Έτσι, π.χ. μια Δ.Α. θα μπορεί να ρυθμίσει ευνοϊκότερη αμοιβή από τον κατώτατο μισθό, αφού εδώ επιτρέπεται ευνοϊκότερη ρύθμιση εκ του νόμου. </w:t>
      </w:r>
    </w:p>
    <w:p w:rsidR="0009236A" w:rsidRDefault="00A643DC" w:rsidP="008358B3">
      <w:pPr>
        <w:spacing w:line="240" w:lineRule="auto"/>
        <w:rPr>
          <w:rFonts w:asciiTheme="majorHAnsi" w:hAnsiTheme="majorHAnsi"/>
          <w:sz w:val="28"/>
          <w:szCs w:val="28"/>
        </w:rPr>
      </w:pPr>
      <w:r>
        <w:rPr>
          <w:rFonts w:asciiTheme="majorHAnsi" w:hAnsiTheme="majorHAnsi"/>
          <w:sz w:val="28"/>
          <w:szCs w:val="28"/>
        </w:rPr>
        <w:t>Βλέπουμε ήδη μία σημαντική διαφορά μεταξύ ΣΣΕ και Δ.Α. Όταν οι κοινωνικοί εταίροι διαπραγματεύονται τους όρους μιας ΣΣΕ</w:t>
      </w:r>
      <w:r w:rsidR="002012BD">
        <w:rPr>
          <w:rFonts w:asciiTheme="majorHAnsi" w:hAnsiTheme="majorHAnsi"/>
          <w:sz w:val="28"/>
          <w:szCs w:val="28"/>
        </w:rPr>
        <w:t>,</w:t>
      </w:r>
      <w:r>
        <w:rPr>
          <w:rFonts w:asciiTheme="majorHAnsi" w:hAnsiTheme="majorHAnsi"/>
          <w:sz w:val="28"/>
          <w:szCs w:val="28"/>
        </w:rPr>
        <w:t xml:space="preserve"> οι ίδιοι μπορούν να θεσπίζουν όρους ευνοϊκότερους για τους μισθωτούς. Το ίδιο συμβαίνει αν συνάψουν ΣΣΕ κατά τη διάρκεια της  διαδικασίας μεσολάβησης με τη βοήθεια του μεσολαβητή ή αποδεχόμενοι την πρότασή του. Αντιθέτως, ο ρυθμιστικός ρόλος της Δ.Α. πλέον περιορίζεται δραστικά, χωρίς να μπορεί να τροποποιήσει διατάξεις νόμου. Αυτό που μπορούμε να εισπράξουμε είναι προφανώς μια προσπάθεια του νομοθέτη να αποτρέψει την προσφυγή στη διαιτησία, ενισχύοντας ταυτόχρονα τις ελεύθερες διαπραγματεύσεις μεταξύ των μερών και τη σύναψη, εν τέλει, ΣΣΕ που θα είναι προϊόν ελεύθερης διαπραγμάτευσης.</w:t>
      </w:r>
      <w:r>
        <w:rPr>
          <w:rFonts w:asciiTheme="majorHAnsi" w:hAnsiTheme="majorHAnsi"/>
          <w:sz w:val="28"/>
          <w:szCs w:val="28"/>
        </w:rPr>
        <w:br/>
      </w:r>
      <w:r>
        <w:rPr>
          <w:rFonts w:asciiTheme="majorHAnsi" w:hAnsiTheme="majorHAnsi"/>
          <w:sz w:val="28"/>
          <w:szCs w:val="28"/>
        </w:rPr>
        <w:br/>
      </w:r>
      <w:r w:rsidR="002012BD">
        <w:rPr>
          <w:rFonts w:asciiTheme="majorHAnsi" w:hAnsiTheme="majorHAnsi"/>
          <w:b/>
          <w:sz w:val="28"/>
          <w:szCs w:val="28"/>
        </w:rPr>
        <w:lastRenderedPageBreak/>
        <w:br/>
      </w:r>
      <w:r>
        <w:rPr>
          <w:rFonts w:asciiTheme="majorHAnsi" w:hAnsiTheme="majorHAnsi"/>
          <w:b/>
          <w:sz w:val="28"/>
          <w:szCs w:val="28"/>
        </w:rPr>
        <w:t>5)</w:t>
      </w:r>
      <w:r>
        <w:rPr>
          <w:rFonts w:asciiTheme="majorHAnsi" w:hAnsiTheme="majorHAnsi"/>
          <w:b/>
          <w:sz w:val="28"/>
          <w:szCs w:val="28"/>
          <w:u w:val="single"/>
        </w:rPr>
        <w:t xml:space="preserve"> Παραπομπή σε άλλες ΣΣΕ ή ΔΑ</w:t>
      </w:r>
    </w:p>
    <w:p w:rsidR="00A643DC" w:rsidRPr="00A643DC" w:rsidRDefault="00A643DC" w:rsidP="008358B3">
      <w:pPr>
        <w:spacing w:line="240" w:lineRule="auto"/>
        <w:rPr>
          <w:rFonts w:asciiTheme="majorHAnsi" w:hAnsiTheme="majorHAnsi"/>
          <w:sz w:val="28"/>
          <w:szCs w:val="28"/>
        </w:rPr>
      </w:pPr>
    </w:p>
    <w:p w:rsidR="006A3444" w:rsidRDefault="00A643DC" w:rsidP="00D4150F">
      <w:pPr>
        <w:spacing w:line="240" w:lineRule="auto"/>
        <w:rPr>
          <w:rFonts w:asciiTheme="majorHAnsi" w:hAnsiTheme="majorHAnsi"/>
          <w:sz w:val="28"/>
          <w:szCs w:val="28"/>
        </w:rPr>
      </w:pPr>
      <w:r>
        <w:rPr>
          <w:rFonts w:asciiTheme="majorHAnsi" w:hAnsiTheme="majorHAnsi"/>
          <w:sz w:val="28"/>
          <w:szCs w:val="28"/>
        </w:rPr>
        <w:t xml:space="preserve">Στην Δ.Α. πρέπει να διατυπώνονται </w:t>
      </w:r>
      <w:r>
        <w:rPr>
          <w:rFonts w:asciiTheme="majorHAnsi" w:hAnsiTheme="majorHAnsi"/>
          <w:b/>
          <w:sz w:val="28"/>
          <w:szCs w:val="28"/>
          <w:u w:val="single"/>
        </w:rPr>
        <w:t>ρητά</w:t>
      </w:r>
      <w:r>
        <w:rPr>
          <w:rFonts w:asciiTheme="majorHAnsi" w:hAnsiTheme="majorHAnsi"/>
          <w:sz w:val="28"/>
          <w:szCs w:val="28"/>
        </w:rPr>
        <w:t xml:space="preserve"> όλοι οι κανονιστικοί της όροι. </w:t>
      </w:r>
      <w:r w:rsidR="00CE7A3B">
        <w:rPr>
          <w:rFonts w:asciiTheme="majorHAnsi" w:hAnsiTheme="majorHAnsi"/>
          <w:sz w:val="28"/>
          <w:szCs w:val="28"/>
        </w:rPr>
        <w:t xml:space="preserve">Δεν επιτρέπεται, δηλαδή, να ρυθμίζει κατά παραπομπήν τους όρους εργασίας, δηλαδή παραπέμποντας σε κανονιστικούς όρους άλλων Δ.Α. ή ΣΣΕ. Έτσι, αν η Δ.Α. παραπέμπει σε κανονιστικούς όρους άλλων ΣΣΕ ή Δ.Α., </w:t>
      </w:r>
      <w:r w:rsidR="00CE7A3B" w:rsidRPr="002012BD">
        <w:rPr>
          <w:rFonts w:asciiTheme="majorHAnsi" w:hAnsiTheme="majorHAnsi"/>
          <w:sz w:val="28"/>
          <w:szCs w:val="28"/>
          <w:u w:val="single"/>
        </w:rPr>
        <w:t>η ρύθμιση αυτή δεν ισχύει παρά μόνο αν αυτή τους ενσωματώνει ρητά στο κείμενό της.</w:t>
      </w:r>
      <w:r w:rsidR="00CE7A3B">
        <w:rPr>
          <w:rFonts w:asciiTheme="majorHAnsi" w:hAnsiTheme="majorHAnsi"/>
          <w:sz w:val="28"/>
          <w:szCs w:val="28"/>
        </w:rPr>
        <w:t xml:space="preserve">  Με απλά λόγια</w:t>
      </w:r>
      <w:r w:rsidR="002012BD">
        <w:rPr>
          <w:rFonts w:asciiTheme="majorHAnsi" w:hAnsiTheme="majorHAnsi"/>
          <w:sz w:val="28"/>
          <w:szCs w:val="28"/>
        </w:rPr>
        <w:t>,</w:t>
      </w:r>
      <w:r w:rsidR="00CE7A3B">
        <w:rPr>
          <w:rFonts w:asciiTheme="majorHAnsi" w:hAnsiTheme="majorHAnsi"/>
          <w:sz w:val="28"/>
          <w:szCs w:val="28"/>
        </w:rPr>
        <w:t xml:space="preserve"> ο διαιτητής θα πρέπει να αντιγράψει στην απόφασή του τις διατάξεις των άλλων ρυθμίσεων που επιθυμεί να ενσωματώσει στη δική του.  Διατάξεις που δεν περιλαμβάνονται αυτούσιες δεν θα ισχύουν. </w:t>
      </w:r>
    </w:p>
    <w:p w:rsidR="002012BD" w:rsidRDefault="002012BD" w:rsidP="002012BD">
      <w:pPr>
        <w:spacing w:line="240" w:lineRule="auto"/>
        <w:ind w:firstLine="0"/>
        <w:rPr>
          <w:rFonts w:asciiTheme="majorHAnsi" w:hAnsiTheme="majorHAnsi"/>
          <w:sz w:val="28"/>
          <w:szCs w:val="28"/>
        </w:rPr>
      </w:pPr>
      <w:r>
        <w:rPr>
          <w:rFonts w:asciiTheme="majorHAnsi" w:hAnsiTheme="majorHAnsi"/>
          <w:sz w:val="28"/>
          <w:szCs w:val="28"/>
        </w:rPr>
        <w:t xml:space="preserve">Αν, λοιπόν, σε πρακτικό αναφέρεται ότι η ΔΑ ρυθμίζει θέμα κατά παραπομπή σε άλλη ΔΑ ή ΣΣΕ, η απάντηση θα είναι ότι ο όρος αυτός </w:t>
      </w:r>
      <w:r w:rsidRPr="002012BD">
        <w:rPr>
          <w:rFonts w:asciiTheme="majorHAnsi" w:hAnsiTheme="majorHAnsi"/>
          <w:sz w:val="28"/>
          <w:szCs w:val="28"/>
          <w:u w:val="single"/>
        </w:rPr>
        <w:t>δεν ισχύει</w:t>
      </w:r>
      <w:r>
        <w:rPr>
          <w:rFonts w:asciiTheme="majorHAnsi" w:hAnsiTheme="majorHAnsi"/>
          <w:sz w:val="28"/>
          <w:szCs w:val="28"/>
          <w:u w:val="single"/>
        </w:rPr>
        <w:t>,</w:t>
      </w:r>
      <w:r>
        <w:rPr>
          <w:rFonts w:asciiTheme="majorHAnsi" w:hAnsiTheme="majorHAnsi"/>
          <w:sz w:val="28"/>
          <w:szCs w:val="28"/>
        </w:rPr>
        <w:t xml:space="preserve"> αφού δεν περιλαμβάνεται ρητά στο κείμενό της.</w:t>
      </w:r>
    </w:p>
    <w:p w:rsidR="00CE7A3B" w:rsidRDefault="00CE7A3B" w:rsidP="00CE7A3B">
      <w:pPr>
        <w:spacing w:line="240" w:lineRule="auto"/>
        <w:ind w:firstLine="0"/>
        <w:rPr>
          <w:rFonts w:asciiTheme="majorHAnsi" w:hAnsiTheme="majorHAnsi"/>
          <w:b/>
          <w:sz w:val="28"/>
          <w:szCs w:val="28"/>
          <w:u w:val="single"/>
        </w:rPr>
      </w:pPr>
      <w:r>
        <w:rPr>
          <w:rFonts w:asciiTheme="majorHAnsi" w:hAnsiTheme="majorHAnsi"/>
          <w:b/>
          <w:sz w:val="28"/>
          <w:szCs w:val="28"/>
        </w:rPr>
        <w:t>ΠΡΟΣΟΧΗ!</w:t>
      </w:r>
      <w:r>
        <w:rPr>
          <w:rFonts w:asciiTheme="majorHAnsi" w:hAnsiTheme="majorHAnsi"/>
          <w:sz w:val="28"/>
          <w:szCs w:val="28"/>
        </w:rPr>
        <w:t xml:space="preserve"> Ο παραπάνω περιορισμός της κατά παραπομπήν </w:t>
      </w:r>
      <w:r w:rsidR="009A769C">
        <w:rPr>
          <w:rFonts w:asciiTheme="majorHAnsi" w:hAnsiTheme="majorHAnsi"/>
          <w:sz w:val="28"/>
          <w:szCs w:val="28"/>
        </w:rPr>
        <w:t xml:space="preserve">ρύθμισης όρων εργασίας αφορά μόνο τις Δ.Α. </w:t>
      </w:r>
      <w:r w:rsidR="009A769C" w:rsidRPr="002012BD">
        <w:rPr>
          <w:rFonts w:asciiTheme="majorHAnsi" w:hAnsiTheme="majorHAnsi"/>
          <w:sz w:val="28"/>
          <w:szCs w:val="28"/>
          <w:u w:val="single"/>
        </w:rPr>
        <w:t>Οι ΣΣΕ μπορούν κανονικότατα και εγκυρότατα να ρυθμίζουν κανονιστικούς τους όρους με παραπομπή/αναφορά σε όρους άλλων ΣΣΕ.</w:t>
      </w:r>
      <w:r w:rsidR="009A769C">
        <w:rPr>
          <w:rFonts w:asciiTheme="majorHAnsi" w:hAnsiTheme="majorHAnsi"/>
          <w:sz w:val="28"/>
          <w:szCs w:val="28"/>
        </w:rPr>
        <w:br/>
      </w:r>
      <w:r w:rsidR="009A769C">
        <w:rPr>
          <w:rFonts w:asciiTheme="majorHAnsi" w:hAnsiTheme="majorHAnsi"/>
          <w:sz w:val="28"/>
          <w:szCs w:val="28"/>
        </w:rPr>
        <w:br/>
      </w:r>
      <w:r w:rsidR="009A769C">
        <w:rPr>
          <w:rFonts w:asciiTheme="majorHAnsi" w:hAnsiTheme="majorHAnsi"/>
          <w:b/>
          <w:sz w:val="28"/>
          <w:szCs w:val="28"/>
        </w:rPr>
        <w:t>6)</w:t>
      </w:r>
      <w:r w:rsidR="009A769C">
        <w:rPr>
          <w:rFonts w:asciiTheme="majorHAnsi" w:hAnsiTheme="majorHAnsi"/>
          <w:b/>
          <w:sz w:val="28"/>
          <w:szCs w:val="28"/>
          <w:u w:val="single"/>
        </w:rPr>
        <w:t xml:space="preserve"> Περιεχόμενο και αναδρομική ισχύς-Εξομοίωση με ΣΣΕ</w:t>
      </w:r>
    </w:p>
    <w:p w:rsidR="009A769C" w:rsidRDefault="009A769C" w:rsidP="009A769C">
      <w:pPr>
        <w:spacing w:line="240" w:lineRule="auto"/>
        <w:rPr>
          <w:rFonts w:asciiTheme="majorHAnsi" w:hAnsiTheme="majorHAnsi"/>
          <w:sz w:val="28"/>
          <w:szCs w:val="28"/>
        </w:rPr>
      </w:pPr>
      <w:r>
        <w:rPr>
          <w:rFonts w:asciiTheme="majorHAnsi" w:hAnsiTheme="majorHAnsi"/>
          <w:sz w:val="28"/>
          <w:szCs w:val="28"/>
        </w:rPr>
        <w:t xml:space="preserve">Με τη νέα ρύθμιση, καταργήθηκε όπως αναφέραμε και προηγουμένως, ο περιορισμός ως προς το αντικείμενο των ρυθμίσεων που προέβλεπε το προϊσχύσαν αρ.16 παρ.3 ν. 1876/90, ότι δηλαδή η Δ.Α. περιορίζεται αποκλειστικά στον καθορισμό βασικού μισθού/ ημερομισθίου και δεν επιτρέπεται να ρυθμίζει άλλα θέματα. </w:t>
      </w:r>
      <w:r w:rsidRPr="002012BD">
        <w:rPr>
          <w:rFonts w:asciiTheme="majorHAnsi" w:hAnsiTheme="majorHAnsi"/>
          <w:sz w:val="28"/>
          <w:szCs w:val="28"/>
          <w:u w:val="single"/>
        </w:rPr>
        <w:t>Επομένως, οι Δ.Α. έχουν, πλέον, το ίδιο αντικείμενο ρύθμισης με τις ΣΣΕ, με μοναδικό περιορισμό ότι δεν μπορούν να ρυθμίζουν θέματα κατά παραπομπή.</w:t>
      </w:r>
      <w:r>
        <w:rPr>
          <w:rFonts w:asciiTheme="majorHAnsi" w:hAnsiTheme="majorHAnsi"/>
          <w:sz w:val="28"/>
          <w:szCs w:val="28"/>
        </w:rPr>
        <w:t xml:space="preserve"> Η ΔΑ ισχύει από την επομένη της υποβολής της αίτησης για μεσολάβηση. </w:t>
      </w:r>
    </w:p>
    <w:p w:rsidR="009A769C" w:rsidRDefault="009A769C" w:rsidP="009A769C">
      <w:pPr>
        <w:spacing w:line="240" w:lineRule="auto"/>
        <w:rPr>
          <w:rFonts w:asciiTheme="majorHAnsi" w:hAnsiTheme="majorHAnsi"/>
          <w:sz w:val="28"/>
          <w:szCs w:val="28"/>
        </w:rPr>
      </w:pPr>
      <w:r w:rsidRPr="009A769C">
        <w:rPr>
          <w:rFonts w:asciiTheme="majorHAnsi" w:hAnsiTheme="majorHAnsi"/>
          <w:b/>
          <w:sz w:val="28"/>
          <w:szCs w:val="28"/>
        </w:rPr>
        <w:t>Ο διαιτητής ή η επιτροπή δεν μπορεί να προσδώσει στη ΔΑ αναδρομική ισχύ απώτερη από την επομένη της υποβολής της αίτησης για μεσολάβηση</w:t>
      </w:r>
      <w:r>
        <w:rPr>
          <w:rFonts w:asciiTheme="majorHAnsi" w:hAnsiTheme="majorHAnsi"/>
          <w:sz w:val="28"/>
          <w:szCs w:val="28"/>
        </w:rPr>
        <w:t xml:space="preserve">. Η ΔΑ μπορεί να ισχύσει, λοιπόν, και αναδρομικά, όχι όμως και πριν την ημερομηνία υποβολής της αίτησης για μεσολάβηση. Αν πάλι τα μέρη θέλουν η ΔΑ να έχει μεγαλύτερη αναδρομική ισχύ, θα πρέπει να το συμφωνήσουν τα ίδια </w:t>
      </w:r>
      <w:r>
        <w:rPr>
          <w:rFonts w:asciiTheme="majorHAnsi" w:hAnsiTheme="majorHAnsi"/>
          <w:sz w:val="28"/>
          <w:szCs w:val="28"/>
        </w:rPr>
        <w:lastRenderedPageBreak/>
        <w:t>μεταξύ τους χωρίς να αποφασίζει ο διαιτητής ή η επιτροπή επ’ αυτού.</w:t>
      </w:r>
    </w:p>
    <w:p w:rsidR="00DC00CF" w:rsidRDefault="009A769C" w:rsidP="009A769C">
      <w:pPr>
        <w:spacing w:line="240" w:lineRule="auto"/>
        <w:rPr>
          <w:rFonts w:asciiTheme="majorHAnsi" w:hAnsiTheme="majorHAnsi"/>
          <w:b/>
          <w:sz w:val="28"/>
          <w:szCs w:val="28"/>
        </w:rPr>
      </w:pPr>
      <w:r>
        <w:rPr>
          <w:rFonts w:asciiTheme="majorHAnsi" w:hAnsiTheme="majorHAnsi"/>
          <w:sz w:val="28"/>
          <w:szCs w:val="28"/>
        </w:rPr>
        <w:t>Διατηρείται, τέλος, η αναστολή του δικαιώματος απεργίας για χρονικό διάστημα 10 ημερών από την ημέρα προσφυγής.</w:t>
      </w:r>
      <w:r w:rsidR="00DC00CF">
        <w:rPr>
          <w:rFonts w:asciiTheme="majorHAnsi" w:hAnsiTheme="majorHAnsi"/>
          <w:sz w:val="28"/>
          <w:szCs w:val="28"/>
        </w:rPr>
        <w:t xml:space="preserve"> Εκ του νόμου μη διακρίνοντος, η αναστολή επέρχεται ανεξάρτητα από τον αν η προσφυγή στη διαιτησία έγινε μονομερώς, είτε από τους εργαζόμενους είτε από τον εργοδότη, ή μετά από συμφωνία των μερών.</w:t>
      </w:r>
      <w:r w:rsidR="00DC00CF">
        <w:rPr>
          <w:rFonts w:asciiTheme="majorHAnsi" w:hAnsiTheme="majorHAnsi"/>
          <w:sz w:val="28"/>
          <w:szCs w:val="28"/>
        </w:rPr>
        <w:br/>
      </w:r>
      <w:r w:rsidR="00DC00CF">
        <w:rPr>
          <w:rFonts w:asciiTheme="majorHAnsi" w:hAnsiTheme="majorHAnsi"/>
          <w:sz w:val="28"/>
          <w:szCs w:val="28"/>
        </w:rPr>
        <w:br/>
      </w:r>
    </w:p>
    <w:p w:rsidR="00DC00CF" w:rsidRDefault="00DC00CF" w:rsidP="00DC00CF">
      <w:pPr>
        <w:spacing w:line="240" w:lineRule="auto"/>
        <w:ind w:firstLine="0"/>
        <w:rPr>
          <w:rFonts w:asciiTheme="majorHAnsi" w:hAnsiTheme="majorHAnsi"/>
          <w:b/>
          <w:sz w:val="28"/>
          <w:szCs w:val="28"/>
        </w:rPr>
      </w:pPr>
    </w:p>
    <w:p w:rsidR="009A769C" w:rsidRDefault="00DC00CF" w:rsidP="00DC00CF">
      <w:pPr>
        <w:spacing w:line="240" w:lineRule="auto"/>
        <w:ind w:firstLine="0"/>
        <w:rPr>
          <w:rFonts w:asciiTheme="majorHAnsi" w:hAnsiTheme="majorHAnsi"/>
          <w:sz w:val="28"/>
          <w:szCs w:val="28"/>
        </w:rPr>
      </w:pPr>
      <w:r>
        <w:rPr>
          <w:rFonts w:asciiTheme="majorHAnsi" w:hAnsiTheme="majorHAnsi"/>
          <w:b/>
          <w:sz w:val="28"/>
          <w:szCs w:val="28"/>
        </w:rPr>
        <w:t>7)</w:t>
      </w:r>
      <w:r>
        <w:rPr>
          <w:rFonts w:asciiTheme="majorHAnsi" w:hAnsiTheme="majorHAnsi"/>
          <w:b/>
          <w:sz w:val="28"/>
          <w:szCs w:val="28"/>
          <w:u w:val="single"/>
        </w:rPr>
        <w:t xml:space="preserve"> Έφεση κατά της Δ.Α.</w:t>
      </w:r>
    </w:p>
    <w:p w:rsidR="00DC00CF" w:rsidRDefault="00DC00CF" w:rsidP="009A769C">
      <w:pPr>
        <w:spacing w:line="240" w:lineRule="auto"/>
        <w:rPr>
          <w:rFonts w:asciiTheme="majorHAnsi" w:hAnsiTheme="majorHAnsi"/>
          <w:sz w:val="28"/>
          <w:szCs w:val="28"/>
        </w:rPr>
      </w:pPr>
      <w:r>
        <w:rPr>
          <w:rFonts w:asciiTheme="majorHAnsi" w:hAnsiTheme="majorHAnsi"/>
          <w:sz w:val="28"/>
          <w:szCs w:val="28"/>
        </w:rPr>
        <w:t>Σημαντική καινοτομία αποτελεί το άρθρο 16</w:t>
      </w:r>
      <w:r>
        <w:rPr>
          <w:rFonts w:asciiTheme="majorHAnsi" w:hAnsiTheme="majorHAnsi"/>
          <w:sz w:val="28"/>
          <w:szCs w:val="28"/>
          <w:vertAlign w:val="superscript"/>
        </w:rPr>
        <w:t xml:space="preserve"> </w:t>
      </w:r>
      <w:r>
        <w:rPr>
          <w:rFonts w:asciiTheme="majorHAnsi" w:hAnsiTheme="majorHAnsi"/>
          <w:sz w:val="28"/>
          <w:szCs w:val="28"/>
        </w:rPr>
        <w:t xml:space="preserve">Α και Β, το οποίο προσετέθη στο αρ. 16 του 11876/90 από τον 4303/14. Σύμφωνα με αυτό, </w:t>
      </w:r>
      <w:r w:rsidRPr="00DC00CF">
        <w:rPr>
          <w:rFonts w:asciiTheme="majorHAnsi" w:hAnsiTheme="majorHAnsi"/>
          <w:b/>
          <w:sz w:val="28"/>
          <w:szCs w:val="28"/>
          <w:u w:val="single"/>
        </w:rPr>
        <w:t>είναι δυνατή η άσκηση εφέσεως κατά της αποφάσεως του διαιτητή ή της επιτροπής.</w:t>
      </w:r>
      <w:r>
        <w:rPr>
          <w:rFonts w:asciiTheme="majorHAnsi" w:hAnsiTheme="majorHAnsi"/>
          <w:b/>
          <w:sz w:val="28"/>
          <w:szCs w:val="28"/>
          <w:u w:val="single"/>
        </w:rPr>
        <w:t xml:space="preserve"> </w:t>
      </w:r>
    </w:p>
    <w:p w:rsidR="00DC00CF" w:rsidRDefault="00DC00CF" w:rsidP="009A769C">
      <w:pPr>
        <w:spacing w:line="240" w:lineRule="auto"/>
        <w:rPr>
          <w:rFonts w:asciiTheme="majorHAnsi" w:hAnsiTheme="majorHAnsi"/>
          <w:sz w:val="28"/>
          <w:szCs w:val="28"/>
        </w:rPr>
      </w:pPr>
      <w:r>
        <w:rPr>
          <w:rFonts w:asciiTheme="majorHAnsi" w:hAnsiTheme="majorHAnsi"/>
          <w:sz w:val="28"/>
          <w:szCs w:val="28"/>
        </w:rPr>
        <w:t xml:space="preserve">Η έφεση ασκείται κατά της πρωτοβάθμιας ΔΑ εντός 10 ημερών από την κοινοποίηση της ΔΑ. </w:t>
      </w:r>
      <w:r w:rsidRPr="00DC00CF">
        <w:rPr>
          <w:rFonts w:asciiTheme="majorHAnsi" w:hAnsiTheme="majorHAnsi"/>
          <w:sz w:val="28"/>
          <w:szCs w:val="28"/>
          <w:u w:val="single"/>
        </w:rPr>
        <w:t>Η προθεσμία και η άσκηση της εφέσεως αναστέλλει την εκτέλεση της αποφάσεως</w:t>
      </w:r>
      <w:r>
        <w:rPr>
          <w:rFonts w:asciiTheme="majorHAnsi" w:hAnsiTheme="majorHAnsi"/>
          <w:sz w:val="28"/>
          <w:szCs w:val="28"/>
        </w:rPr>
        <w:t>. Η αναστολή αυτή διαρκεί μέχρι και να εκδοθεί απόφαση επί της ουσίας της έφεσης.</w:t>
      </w:r>
    </w:p>
    <w:p w:rsidR="00DC00CF" w:rsidRDefault="00DC00CF" w:rsidP="009A769C">
      <w:pPr>
        <w:spacing w:line="240" w:lineRule="auto"/>
        <w:rPr>
          <w:rFonts w:asciiTheme="majorHAnsi" w:hAnsiTheme="majorHAnsi"/>
          <w:sz w:val="28"/>
          <w:szCs w:val="28"/>
        </w:rPr>
      </w:pPr>
      <w:r w:rsidRPr="00DC00CF">
        <w:rPr>
          <w:rFonts w:asciiTheme="majorHAnsi" w:hAnsiTheme="majorHAnsi"/>
          <w:sz w:val="24"/>
          <w:szCs w:val="28"/>
        </w:rPr>
        <w:t>Η δευτεροβάθμια επτιροπή που εκδικάζει την έφεση αποτελείται από 5 μέλη:</w:t>
      </w:r>
      <w:r w:rsidRPr="00DC00CF">
        <w:rPr>
          <w:rFonts w:asciiTheme="majorHAnsi" w:hAnsiTheme="majorHAnsi"/>
          <w:sz w:val="24"/>
          <w:szCs w:val="28"/>
        </w:rPr>
        <w:br/>
        <w:t>α) δύο μέλη από τον κατάλογο διαιτητών του ΟΜΕΔ</w:t>
      </w:r>
      <w:r w:rsidRPr="00DC00CF">
        <w:rPr>
          <w:rFonts w:asciiTheme="majorHAnsi" w:hAnsiTheme="majorHAnsi"/>
          <w:sz w:val="24"/>
          <w:szCs w:val="28"/>
        </w:rPr>
        <w:br/>
        <w:t>β)έναν ΄Σύμβουλο της Επικρατείας</w:t>
      </w:r>
      <w:r w:rsidRPr="00DC00CF">
        <w:rPr>
          <w:rFonts w:asciiTheme="majorHAnsi" w:hAnsiTheme="majorHAnsi"/>
          <w:sz w:val="24"/>
          <w:szCs w:val="28"/>
        </w:rPr>
        <w:br/>
        <w:t xml:space="preserve">γ) έναν Αρεοπαγίτη </w:t>
      </w:r>
      <w:r w:rsidRPr="00DC00CF">
        <w:rPr>
          <w:rFonts w:asciiTheme="majorHAnsi" w:hAnsiTheme="majorHAnsi"/>
          <w:sz w:val="24"/>
          <w:szCs w:val="28"/>
        </w:rPr>
        <w:br/>
        <w:t>δ)έναν σύμβουλο του ΝΣΚ</w:t>
      </w:r>
      <w:r>
        <w:rPr>
          <w:rFonts w:asciiTheme="majorHAnsi" w:hAnsiTheme="majorHAnsi"/>
          <w:sz w:val="24"/>
          <w:szCs w:val="28"/>
        </w:rPr>
        <w:br/>
        <w:t>Η επιλογή των μελών από τον κατάλογο του ΟΜΕΔ γίνεται με τη γνωστή διαδικασία που αναφέραμε προηγουμένως.</w:t>
      </w:r>
    </w:p>
    <w:p w:rsidR="00DC00CF" w:rsidRDefault="0080013E" w:rsidP="009A769C">
      <w:pPr>
        <w:spacing w:line="240" w:lineRule="auto"/>
        <w:rPr>
          <w:rFonts w:asciiTheme="majorHAnsi" w:hAnsiTheme="majorHAnsi"/>
          <w:sz w:val="28"/>
          <w:szCs w:val="28"/>
        </w:rPr>
      </w:pPr>
      <w:r>
        <w:rPr>
          <w:rFonts w:asciiTheme="majorHAnsi" w:hAnsiTheme="majorHAnsi"/>
          <w:sz w:val="28"/>
          <w:szCs w:val="28"/>
        </w:rPr>
        <w:t xml:space="preserve">Και η απόφαση της δευτεροβάθμιας επιτροπής πρέπει να είναι πλήρως αιτιολογημένη και τεκμηριωμένη. Σκοπός της είναι να ελέγξει αν η πρωτοβάθμια ΔΑ είναι ορθή και σύμφωνη με τα κριτήρια που θεσπίζει ο νόμος. Κατά τη διαδικασία αυτή του δεύτερου βαθμού δεν επιτρέπεται η προσαγωγή νέων στοιχείων, αλλά η ΔΑ εκδίδεται βάσει των στοιχείων που προσκομίσθηκαν στον πρώτο βαθμό. </w:t>
      </w:r>
      <w:r>
        <w:rPr>
          <w:rFonts w:asciiTheme="majorHAnsi" w:hAnsiTheme="majorHAnsi"/>
          <w:sz w:val="28"/>
          <w:szCs w:val="28"/>
        </w:rPr>
        <w:br/>
      </w:r>
      <w:r>
        <w:rPr>
          <w:rFonts w:asciiTheme="majorHAnsi" w:hAnsiTheme="majorHAnsi"/>
          <w:sz w:val="28"/>
          <w:szCs w:val="28"/>
        </w:rPr>
        <w:br/>
      </w:r>
      <w:r>
        <w:rPr>
          <w:rFonts w:asciiTheme="majorHAnsi" w:hAnsiTheme="majorHAnsi"/>
          <w:sz w:val="28"/>
          <w:szCs w:val="28"/>
        </w:rPr>
        <w:lastRenderedPageBreak/>
        <w:br/>
      </w:r>
      <w:r>
        <w:rPr>
          <w:rFonts w:asciiTheme="majorHAnsi" w:hAnsiTheme="majorHAnsi"/>
          <w:b/>
          <w:sz w:val="28"/>
          <w:szCs w:val="28"/>
        </w:rPr>
        <w:t>8)</w:t>
      </w:r>
      <w:r>
        <w:rPr>
          <w:rFonts w:asciiTheme="majorHAnsi" w:hAnsiTheme="majorHAnsi"/>
          <w:b/>
          <w:sz w:val="28"/>
          <w:szCs w:val="28"/>
          <w:u w:val="single"/>
        </w:rPr>
        <w:t xml:space="preserve"> Δικαστικός έλεγχος</w:t>
      </w:r>
    </w:p>
    <w:p w:rsidR="0080013E" w:rsidRPr="0080013E" w:rsidRDefault="0080013E" w:rsidP="0080013E">
      <w:pPr>
        <w:spacing w:line="240" w:lineRule="auto"/>
        <w:ind w:firstLine="0"/>
        <w:rPr>
          <w:rFonts w:asciiTheme="majorHAnsi" w:hAnsiTheme="majorHAnsi"/>
          <w:sz w:val="28"/>
          <w:szCs w:val="28"/>
        </w:rPr>
      </w:pPr>
      <w:r>
        <w:rPr>
          <w:rFonts w:asciiTheme="majorHAnsi" w:hAnsiTheme="majorHAnsi"/>
          <w:sz w:val="28"/>
          <w:szCs w:val="28"/>
        </w:rPr>
        <w:t xml:space="preserve">Α) </w:t>
      </w:r>
      <w:r w:rsidRPr="0080013E">
        <w:rPr>
          <w:rFonts w:asciiTheme="majorHAnsi" w:hAnsiTheme="majorHAnsi"/>
          <w:sz w:val="28"/>
          <w:szCs w:val="28"/>
          <w:u w:val="single"/>
        </w:rPr>
        <w:t>Αν δεν έχει ασκηθεί έφεση</w:t>
      </w:r>
    </w:p>
    <w:p w:rsidR="00DC00CF" w:rsidRPr="0080013E" w:rsidRDefault="0080013E" w:rsidP="009A769C">
      <w:pPr>
        <w:spacing w:line="240" w:lineRule="auto"/>
        <w:rPr>
          <w:rFonts w:asciiTheme="majorHAnsi" w:hAnsiTheme="majorHAnsi"/>
          <w:sz w:val="28"/>
          <w:szCs w:val="28"/>
        </w:rPr>
      </w:pPr>
      <w:r>
        <w:rPr>
          <w:rFonts w:asciiTheme="majorHAnsi" w:hAnsiTheme="majorHAnsi"/>
          <w:sz w:val="28"/>
          <w:szCs w:val="28"/>
        </w:rPr>
        <w:t xml:space="preserve">Τα μέρη μπορούν, εντός προθεσμίας 10 ημερών από την πάροδο της προθεσμίας εφέσεως, να ασκήσουν αγωγή περί του κύρους της πρωτοβάθμιας ΔΑ ενώπιον του </w:t>
      </w:r>
      <w:r w:rsidRPr="0080013E">
        <w:rPr>
          <w:rFonts w:asciiTheme="majorHAnsi" w:hAnsiTheme="majorHAnsi"/>
          <w:b/>
          <w:sz w:val="28"/>
          <w:szCs w:val="28"/>
          <w:u w:val="single"/>
        </w:rPr>
        <w:t>Μον.Πρωτ.</w:t>
      </w:r>
      <w:r>
        <w:rPr>
          <w:rFonts w:asciiTheme="majorHAnsi" w:hAnsiTheme="majorHAnsi"/>
          <w:sz w:val="28"/>
          <w:szCs w:val="28"/>
        </w:rPr>
        <w:t xml:space="preserve"> κατά αρ.6 περ.5 του ΚπολΔ. Η αγωγή εγείρεται από τα συμμετέχονται στη συλλογική διαφορά μέρη, ενώ </w:t>
      </w:r>
      <w:r w:rsidRPr="0080013E">
        <w:rPr>
          <w:rFonts w:asciiTheme="majorHAnsi" w:hAnsiTheme="majorHAnsi"/>
          <w:b/>
          <w:sz w:val="28"/>
          <w:szCs w:val="28"/>
          <w:u w:val="single"/>
        </w:rPr>
        <w:t>η εκδοθησόμενη απόφαση ισχύει για όλα τα δεσμευόμενα από τη ΔΑ μέρη.</w:t>
      </w:r>
      <w:r>
        <w:rPr>
          <w:rFonts w:asciiTheme="majorHAnsi" w:hAnsiTheme="majorHAnsi"/>
          <w:b/>
          <w:sz w:val="28"/>
          <w:szCs w:val="28"/>
          <w:u w:val="single"/>
        </w:rPr>
        <w:t xml:space="preserve">  </w:t>
      </w:r>
      <w:r>
        <w:rPr>
          <w:rFonts w:asciiTheme="majorHAnsi" w:hAnsiTheme="majorHAnsi"/>
          <w:sz w:val="28"/>
          <w:szCs w:val="28"/>
        </w:rPr>
        <w:t>Κατά τη διαδικασία ελέγχεται τόσο η εξωτερική (αν δλδ εκδόθηκε η ΔΑ με νόμιμη διαδικασία), όσο και η εσωτερική νομιμότητα ( η ουσιαστική δλδ επί της διαφοράς κρίση π.χ. η πληρότητα της αιτιολογίας, αν η ρύθμιση δικαιολογείται βάσει των στοιχείων που προβλέπει ο νόμος κλπ.)</w:t>
      </w:r>
    </w:p>
    <w:p w:rsidR="009A769C" w:rsidRDefault="0080013E" w:rsidP="0080013E">
      <w:pPr>
        <w:spacing w:line="240" w:lineRule="auto"/>
        <w:ind w:firstLine="0"/>
        <w:rPr>
          <w:rFonts w:asciiTheme="majorHAnsi" w:hAnsiTheme="majorHAnsi"/>
          <w:sz w:val="28"/>
          <w:szCs w:val="28"/>
          <w:u w:val="single"/>
        </w:rPr>
      </w:pPr>
      <w:r>
        <w:rPr>
          <w:rFonts w:asciiTheme="majorHAnsi" w:hAnsiTheme="majorHAnsi"/>
          <w:sz w:val="28"/>
          <w:szCs w:val="28"/>
        </w:rPr>
        <w:t xml:space="preserve">Β) </w:t>
      </w:r>
      <w:r w:rsidRPr="0080013E">
        <w:rPr>
          <w:rFonts w:asciiTheme="majorHAnsi" w:hAnsiTheme="majorHAnsi"/>
          <w:sz w:val="28"/>
          <w:szCs w:val="28"/>
          <w:u w:val="single"/>
        </w:rPr>
        <w:t>Αν έχει ασκηθεί έφεση</w:t>
      </w:r>
    </w:p>
    <w:p w:rsidR="0080013E" w:rsidRDefault="0080013E" w:rsidP="0080013E">
      <w:pPr>
        <w:spacing w:line="240" w:lineRule="auto"/>
        <w:rPr>
          <w:rFonts w:asciiTheme="majorHAnsi" w:hAnsiTheme="majorHAnsi"/>
          <w:sz w:val="28"/>
          <w:szCs w:val="28"/>
        </w:rPr>
      </w:pPr>
      <w:r>
        <w:rPr>
          <w:rFonts w:asciiTheme="majorHAnsi" w:hAnsiTheme="majorHAnsi"/>
          <w:sz w:val="28"/>
          <w:szCs w:val="28"/>
        </w:rPr>
        <w:t xml:space="preserve">Τα μέρη μπορούν να ασκήσουν αγωγή περί του κύρους της αποφάσεως της Πενταμελούς Επιτροπής, ενώπιον του </w:t>
      </w:r>
      <w:r w:rsidRPr="0080013E">
        <w:rPr>
          <w:rFonts w:asciiTheme="majorHAnsi" w:hAnsiTheme="majorHAnsi"/>
          <w:b/>
          <w:sz w:val="28"/>
          <w:szCs w:val="28"/>
          <w:u w:val="single"/>
        </w:rPr>
        <w:t>Εφετείου</w:t>
      </w:r>
      <w:r w:rsidR="0035673B">
        <w:rPr>
          <w:rFonts w:asciiTheme="majorHAnsi" w:hAnsiTheme="majorHAnsi"/>
          <w:sz w:val="28"/>
          <w:szCs w:val="28"/>
        </w:rPr>
        <w:t xml:space="preserve"> και εντός προθεσμίας 10 ημερών από την κοινοποίηση της ΔΑ δευτέρου βαθμού (αυτής δλδ που εκδίδεται από την 5μελή επιτροπή). Η αγωγή εγείρεται από όλα τα συμμετέχοντα στη συλλογική διαφορά μέρη και η απόφαση ισχύει και έχει και πάλι διευρυμένο δεδικασμένο, αφού καταλαμβάνει όλα τα μέρη που δεσμεύονται από τη ΔΑ. </w:t>
      </w:r>
    </w:p>
    <w:p w:rsidR="008949ED" w:rsidRPr="008949ED" w:rsidRDefault="008949ED" w:rsidP="00D4150F">
      <w:pPr>
        <w:spacing w:line="240" w:lineRule="auto"/>
        <w:rPr>
          <w:rFonts w:asciiTheme="majorHAnsi" w:hAnsiTheme="majorHAnsi"/>
          <w:sz w:val="28"/>
          <w:szCs w:val="28"/>
        </w:rPr>
      </w:pPr>
    </w:p>
    <w:p w:rsidR="000B2E7E" w:rsidRDefault="000B2E7E" w:rsidP="00D4150F">
      <w:pPr>
        <w:spacing w:line="240" w:lineRule="auto"/>
        <w:rPr>
          <w:rFonts w:asciiTheme="majorHAnsi" w:hAnsiTheme="majorHAnsi"/>
          <w:sz w:val="28"/>
          <w:szCs w:val="28"/>
        </w:rPr>
      </w:pPr>
    </w:p>
    <w:p w:rsidR="000B2E7E" w:rsidRDefault="0035673B" w:rsidP="0035673B">
      <w:pPr>
        <w:spacing w:line="240" w:lineRule="auto"/>
        <w:ind w:firstLine="0"/>
        <w:rPr>
          <w:rFonts w:asciiTheme="majorHAnsi" w:hAnsiTheme="majorHAnsi"/>
          <w:sz w:val="28"/>
          <w:szCs w:val="28"/>
        </w:rPr>
      </w:pPr>
      <w:r w:rsidRPr="0035673B">
        <w:rPr>
          <w:rFonts w:asciiTheme="majorHAnsi" w:hAnsiTheme="majorHAnsi"/>
          <w:b/>
          <w:sz w:val="32"/>
          <w:szCs w:val="28"/>
          <w:u w:val="single"/>
        </w:rPr>
        <w:t>Αλλαγές του 4303/14 στη διαδικασία της μεσολάβησης</w:t>
      </w:r>
    </w:p>
    <w:p w:rsidR="00CB266F" w:rsidRDefault="0035673B" w:rsidP="0035673B">
      <w:pPr>
        <w:spacing w:line="240" w:lineRule="auto"/>
        <w:rPr>
          <w:rFonts w:asciiTheme="majorHAnsi" w:hAnsiTheme="majorHAnsi"/>
          <w:b/>
          <w:sz w:val="28"/>
          <w:szCs w:val="28"/>
          <w:u w:val="single"/>
        </w:rPr>
      </w:pPr>
      <w:r>
        <w:rPr>
          <w:rFonts w:asciiTheme="majorHAnsi" w:hAnsiTheme="majorHAnsi"/>
          <w:sz w:val="28"/>
          <w:szCs w:val="28"/>
        </w:rPr>
        <w:t xml:space="preserve"> Η βασικότερη αλλαγή που επέφερε ο νόμος αφορ</w:t>
      </w:r>
      <w:r w:rsidR="00BF4AF7">
        <w:rPr>
          <w:rFonts w:asciiTheme="majorHAnsi" w:hAnsiTheme="majorHAnsi"/>
          <w:sz w:val="28"/>
          <w:szCs w:val="28"/>
        </w:rPr>
        <w:t>ά τη μέχρι πρότινος δυνατότητα</w:t>
      </w:r>
      <w:r>
        <w:rPr>
          <w:rFonts w:asciiTheme="majorHAnsi" w:hAnsiTheme="majorHAnsi"/>
          <w:sz w:val="28"/>
          <w:szCs w:val="28"/>
        </w:rPr>
        <w:t xml:space="preserve"> να υποβάλλει ή όχι πρόταση ο μεσολαβητής. Πλεόν,</w:t>
      </w:r>
      <w:r w:rsidRPr="0035673B">
        <w:rPr>
          <w:rFonts w:asciiTheme="majorHAnsi" w:hAnsiTheme="majorHAnsi"/>
          <w:sz w:val="28"/>
          <w:szCs w:val="28"/>
          <w:u w:val="single"/>
        </w:rPr>
        <w:t xml:space="preserve"> ο μεσολαβητής δεν έχει δικαίωμα αλλά </w:t>
      </w:r>
      <w:r w:rsidRPr="0035673B">
        <w:rPr>
          <w:rFonts w:asciiTheme="majorHAnsi" w:hAnsiTheme="majorHAnsi"/>
          <w:b/>
          <w:sz w:val="28"/>
          <w:szCs w:val="28"/>
          <w:u w:val="single"/>
        </w:rPr>
        <w:t>υποχρέωση</w:t>
      </w:r>
      <w:r w:rsidRPr="0035673B">
        <w:rPr>
          <w:rFonts w:asciiTheme="majorHAnsi" w:hAnsiTheme="majorHAnsi"/>
          <w:sz w:val="28"/>
          <w:szCs w:val="28"/>
          <w:u w:val="single"/>
        </w:rPr>
        <w:t xml:space="preserve"> προς υποβολή προτάσεως και μάλιστα </w:t>
      </w:r>
      <w:r w:rsidRPr="0035673B">
        <w:rPr>
          <w:rFonts w:asciiTheme="majorHAnsi" w:hAnsiTheme="majorHAnsi"/>
          <w:b/>
          <w:sz w:val="28"/>
          <w:szCs w:val="28"/>
          <w:u w:val="single"/>
        </w:rPr>
        <w:t>αιτιολογημένης</w:t>
      </w:r>
      <w:r>
        <w:rPr>
          <w:rFonts w:asciiTheme="majorHAnsi" w:hAnsiTheme="majorHAnsi"/>
          <w:sz w:val="28"/>
          <w:szCs w:val="28"/>
        </w:rPr>
        <w:t xml:space="preserve">. Και εδώ απαγορεύεται όπως και στις ΔΑ η ρύθμιση των όρων εργασίας κατά παραπομπή. </w:t>
      </w:r>
      <w:r w:rsidR="00CB266F">
        <w:rPr>
          <w:rFonts w:asciiTheme="majorHAnsi" w:hAnsiTheme="majorHAnsi"/>
          <w:sz w:val="28"/>
          <w:szCs w:val="28"/>
        </w:rPr>
        <w:br/>
      </w:r>
      <w:r w:rsidR="00CB266F">
        <w:rPr>
          <w:rFonts w:asciiTheme="majorHAnsi" w:hAnsiTheme="majorHAnsi"/>
          <w:sz w:val="28"/>
          <w:szCs w:val="28"/>
        </w:rPr>
        <w:br/>
      </w:r>
    </w:p>
    <w:p w:rsidR="00CB266F" w:rsidRDefault="00CB266F" w:rsidP="0035673B">
      <w:pPr>
        <w:spacing w:line="240" w:lineRule="auto"/>
        <w:rPr>
          <w:rFonts w:asciiTheme="majorHAnsi" w:hAnsiTheme="majorHAnsi"/>
          <w:b/>
          <w:sz w:val="28"/>
          <w:szCs w:val="28"/>
          <w:u w:val="single"/>
        </w:rPr>
      </w:pPr>
    </w:p>
    <w:p w:rsidR="0035673B" w:rsidRPr="00CB266F" w:rsidRDefault="00CB266F" w:rsidP="0035673B">
      <w:pPr>
        <w:spacing w:line="240" w:lineRule="auto"/>
        <w:rPr>
          <w:rFonts w:asciiTheme="majorHAnsi" w:hAnsiTheme="majorHAnsi"/>
          <w:b/>
          <w:sz w:val="28"/>
          <w:szCs w:val="28"/>
          <w:u w:val="single"/>
        </w:rPr>
      </w:pPr>
      <w:r>
        <w:rPr>
          <w:rFonts w:asciiTheme="majorHAnsi" w:hAnsiTheme="majorHAnsi"/>
          <w:b/>
          <w:sz w:val="28"/>
          <w:szCs w:val="28"/>
          <w:u w:val="single"/>
        </w:rPr>
        <w:lastRenderedPageBreak/>
        <w:t>Το κείμενο του νόμου</w:t>
      </w:r>
      <w:r>
        <w:rPr>
          <w:rFonts w:asciiTheme="majorHAnsi" w:hAnsiTheme="majorHAnsi"/>
          <w:b/>
          <w:sz w:val="28"/>
          <w:szCs w:val="28"/>
          <w:u w:val="single"/>
        </w:rPr>
        <w:br/>
      </w:r>
    </w:p>
    <w:p w:rsidR="00CB266F" w:rsidRDefault="00CB266F" w:rsidP="00CB266F">
      <w:pPr>
        <w:pStyle w:val="NormalWeb"/>
        <w:shd w:val="clear" w:color="auto" w:fill="FDFDFD"/>
        <w:spacing w:line="253" w:lineRule="atLeast"/>
        <w:jc w:val="center"/>
        <w:rPr>
          <w:rStyle w:val="Strong"/>
          <w:rFonts w:ascii="Arial" w:hAnsi="Arial" w:cs="Arial"/>
          <w:color w:val="21305F"/>
          <w:sz w:val="21"/>
          <w:szCs w:val="21"/>
        </w:rPr>
      </w:pP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Strong"/>
          <w:rFonts w:ascii="Arial" w:hAnsi="Arial" w:cs="Arial"/>
          <w:color w:val="21305F"/>
          <w:sz w:val="21"/>
          <w:szCs w:val="21"/>
        </w:rPr>
        <w:t>Ο ΠΡΟΕΔΡΟΣ</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Strong"/>
          <w:rFonts w:ascii="Arial" w:hAnsi="Arial" w:cs="Arial"/>
          <w:color w:val="21305F"/>
          <w:sz w:val="21"/>
          <w:szCs w:val="21"/>
        </w:rPr>
        <w:t>ΤΗΣ ΕΛΛΗΝΙΚΗΣ ΔΗΜΟΚΡΑΤΙΑΣ</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Fonts w:ascii="Arial" w:hAnsi="Arial" w:cs="Arial"/>
          <w:color w:val="21305F"/>
          <w:sz w:val="21"/>
          <w:szCs w:val="21"/>
        </w:rPr>
        <w:t>Εκδίδομε τον ακόλουθο νόμο που ψήφισε η Βουλή:</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Strong"/>
          <w:rFonts w:ascii="Arial" w:hAnsi="Arial" w:cs="Arial"/>
          <w:color w:val="21305F"/>
          <w:sz w:val="21"/>
          <w:szCs w:val="21"/>
        </w:rPr>
        <w:t>Άρθρο πρώτο</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Strong"/>
          <w:rFonts w:ascii="Arial" w:hAnsi="Arial" w:cs="Arial"/>
          <w:color w:val="21305F"/>
          <w:sz w:val="21"/>
          <w:szCs w:val="21"/>
        </w:rPr>
        <w:t>Κύρωση ΠΝΠ</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Fonts w:ascii="Arial" w:hAnsi="Arial" w:cs="Arial"/>
          <w:color w:val="21305F"/>
          <w:sz w:val="21"/>
          <w:szCs w:val="21"/>
        </w:rPr>
        <w:t>........................................................................</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Fonts w:ascii="Arial" w:hAnsi="Arial" w:cs="Arial"/>
          <w:color w:val="21305F"/>
          <w:sz w:val="21"/>
          <w:szCs w:val="21"/>
        </w:rPr>
        <w:t> </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Strong"/>
          <w:rFonts w:ascii="Arial" w:hAnsi="Arial" w:cs="Arial"/>
          <w:color w:val="21305F"/>
          <w:sz w:val="21"/>
          <w:szCs w:val="21"/>
        </w:rPr>
        <w:t>Άρθρο τέταρτο</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Strong"/>
          <w:rFonts w:ascii="Arial" w:hAnsi="Arial" w:cs="Arial"/>
          <w:color w:val="21305F"/>
          <w:sz w:val="21"/>
          <w:szCs w:val="21"/>
        </w:rPr>
        <w:t>Διαδικαστικά ζητήματα μεσολάβησης και διαιτησίας συλλογικών διαφορών εργασίας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Fonts w:ascii="Arial" w:hAnsi="Arial" w:cs="Arial"/>
          <w:color w:val="21305F"/>
          <w:sz w:val="21"/>
          <w:szCs w:val="21"/>
        </w:rPr>
        <w:t>1. Η παρ. 4 του άρθρου 15 του ν. 1876/1990, όπως αυτό αντικαταστάθηκε από το άρθρο 14 του ν. 3899/2010 (Α' 212), αντικαθίσταται ως εξής: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«4. Ο μεσολαβητής καλεί τα μέρη σε κοινές συζητήσεις, προβαίνει σε κατ' ιδίαν ακρόαση των μερών επί των αιτιολογημένων προτάσεων και αντιπροτάσεών τους για την κατάρτιση συλλογικής σύμβασης εργασίας, που καταχωρούνται συνοπτικά σε Πρακτικό Μεσολάβησης, εξετάζει την οικονομική κατάσταση και εξέλιξη της ανταγωνιστικότητας της παραγωγικής δραστηριότητας στην οποία αναφέρεται η συλλογική διαφορά και προβαίνει σε εξέταση προσώπων και σε οποιαδήποτε έρευνα σχετική με τους όρους εργασίας, συνεπικουρούμενος από έναν ή περισσότερους πραγματογνώμονες της επιλογής του.»</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Fonts w:ascii="Arial" w:hAnsi="Arial" w:cs="Arial"/>
          <w:color w:val="21305F"/>
          <w:sz w:val="21"/>
          <w:szCs w:val="21"/>
        </w:rPr>
        <w:t>2. Το εδάφιο α' της παρ. 6 του άρθρου 15 του ν. 1876/ 1990, όπως αυτό αντικαταστάθηκε από το άρθρο 14 του ν. 3899/2010 (Α' 212), αντικαθίσταται ως εξής: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«6. α) Αν τα μέρη δεν καταλήξουν σε συμφωνία μέσα σε προθεσμία είκοσι (20) εργάσιμων ημερών από την επομένη της ημέρας ανάληψης των καθηκόντων του μεσολαβητή, προθεσμία η οποία δύναται να παραταθεί με συμφωνία των μερών, ο μεσολαβητής κοινοποιεί στα μέρη αιτιολογημένη πρόταση μεσολάβησης. Στην πρόταση μεσολάβησης αναφέρονται: i) τα μέρη που θα δεσμεύονται από την προτεινόμενη συλλογική σύμβαση εργασίας και οι εκπρόσωποι αυτών που μετείχαν στη διαδικασία μεσολάβησης, ii) ο τρόπος προσφυγής στη μεσολάβηση, iii) τα θέματα που τέθηκαν σε διαπραγμάτευση στη διαδικασία μεσολάβησης, iv) τα στοιχεία, υπομνήματα κ.λπ. με τα οποία τα μέρη τεκμηρίωσαν τις προτάσεις και αντιπροτάσεις τους, v) τα ζητήματα στα οποία επήλθε συμφωνία, vi) τα ζητήματα στα οποία διατηρήθηκε η διαφωνία και επί των οποίων αιτιολογεί την ουσιαστική κρίση της πρότασής του κατά τα οριζόμενα στην παρ. 6 του άρθρου 16 του παρόντος και vii) ρητή διατύπωση όλων των όρων της προτεινόμενης συλλογικής σύμβασης εργασίας, χωρίς παραπομπές σε άλλες ρυθμίσεις.»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Fonts w:ascii="Arial" w:hAnsi="Arial" w:cs="Arial"/>
          <w:color w:val="21305F"/>
          <w:sz w:val="21"/>
          <w:szCs w:val="21"/>
        </w:rPr>
        <w:lastRenderedPageBreak/>
        <w:t>3. Το άρθρο του 16 του ν. 1876/1990, όπως αντικαταστάθηκε με το άρθρο 14 του ν. 3899/2010, και τροποποιήθηκε με τις παραγράφους 1 και 2 του άρθρου 3 της με αριθμό 6 Πράξης του Υπουργικού Συμβουλίου της 28.2.2012 (Α' 38), που εκδόθηκε κατά εξουσιοδότηση της παρ. 6 του άρθρου 1 του ν. 4046/2012 (Α' 28), αντικαθίσταται ως εξής:</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Emphasis"/>
          <w:rFonts w:ascii="Arial" w:hAnsi="Arial" w:cs="Arial"/>
          <w:color w:val="21305F"/>
          <w:sz w:val="21"/>
          <w:szCs w:val="21"/>
        </w:rPr>
        <w:t>«Άρθρο 16</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Emphasis"/>
          <w:rFonts w:ascii="Arial" w:hAnsi="Arial" w:cs="Arial"/>
          <w:color w:val="21305F"/>
          <w:sz w:val="21"/>
          <w:szCs w:val="21"/>
        </w:rPr>
        <w:t>Διαιτησία</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Emphasis"/>
          <w:rFonts w:ascii="Arial" w:hAnsi="Arial" w:cs="Arial"/>
          <w:color w:val="21305F"/>
          <w:sz w:val="21"/>
          <w:szCs w:val="21"/>
        </w:rPr>
        <w:t>(Πρώτος Βαθμός)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1. Η προσφυγή στη Διαιτησία μπορεί να γίνεται σε οποιοδήποτε στάδιο των διαπραγματεύσεων με συμφωνία των μερών.</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2. Είναι δυνατή η προσφυγή στη διαιτησία μονομερώς στις εξής περιπτώσεις: α) από οποιοδήποτε μέρος, εφόσον το άλλο μέρος αρνήθηκε τη μεσολάβηση, β) από οποιοδήποτε μέρος μετά την υποβολή της πρότασης μεσολάβησης.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3. Η διαιτησία διεξάγεται από έναν διαιτητή ή από Τριμελή Επιτροπή Διαιτησίας, αν το ζητήσει ένα εκ των μερών. Στην περίπτωση μονομερούς προσφυγής στη διαιτησία, σύμφωνα με την παράγραφο 2 αυτού του άρθρου, διεξάγεται από Τριμελή Επιτροπή Διαιτησίας.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4. Ο διαιτητής ή οι διαιτητές της Τριμελούς Επιτροπής Διαιτησίας, ο ορισμός ενός εκ των διαιτητών ως προέδρου της Επιτροπής, καθώς και οι αναπληρωτές τους, επιλέγονται με συμφωνία των μερών από τον κατάλογο διαιτητών του Ο.ΜΕ.Δ. και σε περίπτωση ασυμφωνίας με κλήρωση. Εντός σαράντα οκτώ (48) ωρών από την προσφυγή στη διαιτησία, η αρμόδια υπηρεσία του Ο.ΜΕ.Δ. καλεί τα μέρη να προσέλθουν σε καθορισμένο τόπο και ώρα για την επιλογή διαιτητή ή Επιτροπής Διαιτησίας και του προέδρου της, καθώς και των αναπληρωτών τους. Η επιλογή ή η κλήρωση διεξάγεται ενώπιον του προέδρου του Ο.ΜΕ.Δ. ή του οριζομένου από αυτόν εκπροσώπου του. Κάθε μέρος έχει το δικαίωμα να εκφράσει μία φορά άρνηση για το κληρωθέν πρόσωπο. Ο διαιτητής και η Τριμελής Επιτροπή Διαιτησίας οφείλουν να αναλάβουν τα καθήκοντά τους εντός πέντε (5) εργάσιμων ημερών από τον ορισμό τους.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5. Ο διαιτητής και η Επιτροπή Διαιτησίας έχουν τα ίδια δικαιώματα με τον μεσολαβητή. Μελετούν όλα τα στοιχεία και πορίσματα, που συγκεντρώθηκαν στο στάδιο της μεσολάβησης και τα πρόσθετα στοιχεία που συγκεντρώθηκαν κατά τη διαδικασία της διαιτησίας και κυρίως τα οικονομικά και χρηματοοικονομικά στοιχεία, την εξέλιξη της ανταγωνιστικότητας και την οικονομική κατάσταση των ασθενέστερων επιχειρήσεων της παραγωγικής δραστηριότητας, στην οποία αναφέρεται η συλλογική διαφορά, την πρόοδο στη μείωση του κενού ανταγωνιστικότητας και στη μείωση του μοναδιαίου κόστους εργασίας κατά τη διάρκεια του προγράμματος δημοσιονομικής προσαρμογής της χώρας.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6. Η διαιτητική απόφαση πρέπει να περιέχει πλήρη και τεκμηριωμένη αιτιολογία σχετικά με τους όρους που τίθενται σε αυτή και οι οποίοι δεν μπορούν να έρχονται σε αντίθεση ή να τροποποιούν προβλέψεις της κείμενης νομοθεσίας. Στη διαιτητική απόφαση διατυπώνονται ρητώς όλοι οι κανονιστικοί όροι. Κανονιστικοί όροι άλλων εν ισχύι συλλογικών ρυθμίσεων εξακολουθούν να ισχύουν με τη διαιτητική απόφαση. Η πληρότητα της αιτιολογίας ελέγχεται δικαστικά, σύμφωνα με το άρθρο 16Β του παρόντος.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 xml:space="preserve">7. Η διαιτητική απόφαση εκδίδεται σε δεκαπέντε (15) ημέρες από την ανάληψη των καθηκόντων του διαιτητή ή της Επιτροπής Διαιτησίας, αν προηγήθηκε μεσολάβηση, και σε </w:t>
      </w:r>
      <w:r>
        <w:rPr>
          <w:rStyle w:val="Emphasis"/>
          <w:rFonts w:ascii="Arial" w:hAnsi="Arial" w:cs="Arial"/>
          <w:color w:val="21305F"/>
          <w:sz w:val="21"/>
          <w:szCs w:val="21"/>
        </w:rPr>
        <w:lastRenderedPageBreak/>
        <w:t>διάστημα τριάντα πέντε (35) ημερών, αν δεν προηγήθηκε. Η απόφαση της Επιτροπής Διαιτησίας λαμβάνεται ομόφωνα ή κατά πλειοψηφία. Η διαιτητική απόφαση κοινοποιείται από την αρμόδια υπηρεσία του Ο.ΜΕ.Δ. εντός πέντε (5) ημερών από εκδόσεώς της στα δεσμευόμενα από αυτή μέρη.</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8. Η απόφαση της διαιτησίας εξομοιώνεται με συλλογική σύμβαση εργασίας και ισχύει από την επομένη της υποβολής της αίτησης για μεσολάβηση, εκτός εάν τα μέρη συμφωνήσουν διαφορετικά.</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9. Στις περιπτώσεις προσφυγής στη διαιτησία αναστέλλεται η άσκηση του δικαιώματος της απεργίας για διάστημα δέκα (10) ημερών από την ημέρα προσφυγής του.»</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Fonts w:ascii="Arial" w:hAnsi="Arial" w:cs="Arial"/>
          <w:color w:val="21305F"/>
          <w:sz w:val="21"/>
          <w:szCs w:val="21"/>
        </w:rPr>
        <w:t>4. Μετά το άρθρο 16 του ν. 1876/1990 προστίθενται άρθρα 16Α και 16Β ως εξής:</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Emphasis"/>
          <w:rFonts w:ascii="Arial" w:hAnsi="Arial" w:cs="Arial"/>
          <w:color w:val="21305F"/>
          <w:sz w:val="21"/>
          <w:szCs w:val="21"/>
        </w:rPr>
        <w:t>«Άρθρο 16A</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Emphasis"/>
          <w:rFonts w:ascii="Arial" w:hAnsi="Arial" w:cs="Arial"/>
          <w:color w:val="21305F"/>
          <w:sz w:val="21"/>
          <w:szCs w:val="21"/>
        </w:rPr>
        <w:t>Έφεση κατά απόφασης διαιτησίας</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Emphasis"/>
          <w:rFonts w:ascii="Arial" w:hAnsi="Arial" w:cs="Arial"/>
          <w:color w:val="21305F"/>
          <w:sz w:val="21"/>
          <w:szCs w:val="21"/>
        </w:rPr>
        <w:t>(Δεύτερος Βαθμός)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1. Κατά της απόφασης του διαιτητή ή της Τριμελούς Επιτροπής Διαιτησίας οποιοδήποτε από τα μέρη μπορεί να ασκήσει έφεση, που κατατίθεται στη γραμματεία του Ο.ΜΕ.Δ.. Η προθεσμία της έφεσης είναι δέκα (10) ήμερες από την κοινοποίηση της απόφασης. Η προθεσμία και η άσκηση της έφεσης αναστέλλει την εκτέλεση της απόφασης. Το ανασταλτικό αποτέλεσμα διαρκεί έως ότου εκδοθεί απόφαση επί της ουσίας της έφεσης.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2. Η έφεση εξετάζεται από Δευτεροβάθμια Πενταμελή Επιτροπή Διαιτησίας που απαρτίζεται από:</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α) Δύο μέλη που προέρχονται από τον κατάλογο των διαιτητών του Ο.ΜΕ.Δ. και</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β) έναν Σύμβουλο του Συμβουλίου της Επικρατείας και έναν Αρεοπαγίτη, οι οποίοι επιλέγονται με τους αναπληρωτές τους από το οικείο Ανώτατο Δικαστικό Συμβούλιο για θητεία ενός (1) έτους, και έναν Σύμβουλο του Νομικού Συμβουλίου του Κράτους, ο οποίος επιλέγεται με τον αναπληρωτή του από την Ολομέλεια αυτού για θητεία ενός (1) έτους. Τα μέλη αυτά, όπως και οι διαιτητές, απολαμβάνουν πλήρους ανεξαρτησίας κατά την άσκηση των καθηκόντων τους.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3. Η αμοιβή των μελών της Δευτεροβάθμιας Πενταμελούς Επιτροπής Διαιτησίας καθορίζεται με τον Κανονισμό Αμοιβών του Ο.ΜΕ.Δ., ο οποίος εκδίδεται κατά τη διαδικασία της παρ. 2 του άρθρου 18 του ν. 1876/1990.</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4. Η ανάδειξη των μελών της Δευτεροβάθμιας Πενταμελούς Επιτροπής Διαιτησίας, που θα επιληφθεί συγκεκριμένης έφεσης, εφόσον δεν πρόκειται για τα πρόσωπα της περίπτωσης β' της παραγράφου 2, γίνεται με κλήρωση, σύμφωνα με τη διαδικασία της παρ. 4 του άρθρου 16 αυτού του νόμου και προεδρεύει ο εκάστοτε αρχαιότερος Αντιπρόεδρος του Συμβουλίου της Επικρατείας ή του Αρείου Πάγου.</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5. Στη διαδικασία ενώπιον της Δευτεροβάθμιας Πενταμελούς Επιτροπής Διαιτησίας και για την απόφαση που θα εκδοθεί, εφαρμόζονται οι διατάξεις των παραγράφων 5, 6 και 8 του άρθρου 16, όπως ισχύει. Η απόφαση εκδίδεται με βάση τα στοιχεία που προσκομίστηκαν στον πρώτο βαθμό διαιτησίας.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lastRenderedPageBreak/>
        <w:t>6. Η διαιτητική απόφαση εκδίδεται εντός είκοσι (20) ημερών από την ημερομηνία ανάληψης των καθηκόντων της Δευτεροβάθμιας Επιτροπής Διαιτησίας, ομόφωνα ή κατά πλειοψηφία, και κοινοποιείται από την αρμόδια υπηρεσία του Ο.ΜΕ.Δ. εντός πέντε (5) ημερών από εκ-δόσεώς της στα δεσμευόμενα από αυτή μέρη.»</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Emphasis"/>
          <w:rFonts w:ascii="Arial" w:hAnsi="Arial" w:cs="Arial"/>
          <w:color w:val="21305F"/>
          <w:sz w:val="21"/>
          <w:szCs w:val="21"/>
        </w:rPr>
        <w:t>«Άρθρο 16Β</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Emphasis"/>
          <w:rFonts w:ascii="Arial" w:hAnsi="Arial" w:cs="Arial"/>
          <w:color w:val="21305F"/>
          <w:sz w:val="21"/>
          <w:szCs w:val="21"/>
        </w:rPr>
        <w:t>Δικαστικός έλεγχος των διαιτητικών αποφάσεων</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1. Σε περίπτωση που δεν ασκηθεί έφεση, σύμφωνα με τη διαδικασία του άρθρου 16Α, κατά απόφασης διαιτησίας που εκδόθηκε με τη διαδικασία του άρθρου 16, τα μέρη, εντός προθεσμίας δέκα (10) ημερών από την πάροδο της προθεσμίας εφέσεως του άρθρου 16Α, μπορούν να ασκήσουν αγωγή περί του κύρους αυτής, ενώπιον του Μονομελούς Πρωτοδικείου κατά το άρθρο 16 στοιχείο 5 του Κώδικα Πολιτικής Δικονομίας. Η αγωγή αυτή εκδικάζεται κατά τη διαδικασία των άρθρων 663 του ίδιου Κώδικα. Η σχετική αγωγή εγείρεται από συμμετέχοντα στη συλλογική διαφορά μέρη, η δε εκδοθησομένη απόφαση ισχύει για όλα τα δεσμευόμενα από τη διαιτητική απόφαση μέρη. Η δικάσιμος ορίζεται εντός σαράντα πέντε (45) ημερών από την κατάθεση της αγωγής ανεξάρτητα από τον αριθμό των υποθέσεων της δικασίμου. Η έφεση κατά της πρωτόδικης απόφασης ασκείται εντός δεκαπέντε (15) ημερών από την επίδοση της πρωτόδικης απόφασης. Η δικάσιμος της έφεσης ορίζεται εντός τριάντα (30) ημερών από την άσκησή της. Η προθεσμία κλήτευσης είναι δεκαπέντε (15) ημέρες πριν από τη συζήτηση.</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Style w:val="Emphasis"/>
          <w:rFonts w:ascii="Arial" w:hAnsi="Arial" w:cs="Arial"/>
          <w:color w:val="21305F"/>
          <w:sz w:val="21"/>
          <w:szCs w:val="21"/>
        </w:rPr>
        <w:t>2. Σε περίπτωση που ασκηθεί έφεση ενώπιον της Πενταμελούς Επιτροπής Διαιτησίας, κατά απόφασης διαιτησίας η οποία εκδόθηκε σύμφωνα με τη διαδικασία του άρθρου 16, τα μέρη μπορούν να ασκήσουν αγωγή περί του κύρους αυτής, εντός προθεσμίας δέκα (10) ημερών από την κοινοποίηση της απόφασης της Πενταμελούς Επιτροπής Διαιτησίας, ενώπιον του Εφετείου. Η αγωγή αυτή εκδικάζεται κατά τη διαδικασία των άρθρων 663 του Κώδικα Πολιτικής Δικονομίας. Η σχετική αγωγή εγείρεται από συμμετέχοντα στη συλλογική διαφορά μέρη, η δε εκδοθησομένη απόφαση ισχύει για όλα τα δεσμευόμενα από την τελική διαιτητική απόφαση μέρη. Η δικάσιμος ορίζεται εντός σαράντα πέντε (45) ημερών από την κατάθεση της αγωγής, ανεξάρτητα τον αριθμό των υποθέσεων της δικασίμου. Στην περίπτωση αυτή το Εφετείο μπορεί να κρίνει και το κύρος της απόφασης διαιτησίας που εκδόθηκε με τη διαδικασία του άρθρου 16.»</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Fonts w:ascii="Arial" w:hAnsi="Arial" w:cs="Arial"/>
          <w:color w:val="21305F"/>
          <w:sz w:val="21"/>
          <w:szCs w:val="21"/>
        </w:rPr>
        <w:t>5. Η παρ. 4 του άρθρου 3 της ΠΥΣ 6/2012 (Α' 38), που εκδόθηκε κατά εξουσιοδότηση της παρ. 6 του άρθρου 1 του ν. 4046/2012 (Α' 28), καταργείται.</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Fonts w:ascii="Arial" w:hAnsi="Arial" w:cs="Arial"/>
          <w:color w:val="21305F"/>
          <w:sz w:val="21"/>
          <w:szCs w:val="21"/>
        </w:rPr>
        <w:t>6. Η ισχύς του παρόντος άρχεται από τη δημοσίευσή του στην Εφημερίδα της Κυβερνήσεως. Για τυχόν προσφυγές που έχουν κατατεθεί στον Ο.ΜΕ.Δ. και μέχρι σήμερα δεν έχει εκδοθεί απόφαση διαιτησίας εφαρμόζονται τα οριζόμενα στο παρόν άρθρο. Το ίδιο ισχύει για αποφάσεις διαιτησίας που έχουν κοινοποιηθεί στα μέρη μετά τη δημοσίευση της υπ' αριθμ. 2307/2014 απόφασης της Ολομέλειας του Συμβουλίου της Επικρατείας. Στις υποθέσεις του προηγούμενου εδαφίου, η προθεσμία προς άσκηση έφεσης ενώπιον της Δευτεροβάθμιας Πενταμελούς Επιτροπής Διαιτησίας αρχίζει δέκα (10) ημέρες από τη δημοσίευση του παρόντος νόμου.</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Fonts w:ascii="Arial" w:hAnsi="Arial" w:cs="Arial"/>
          <w:color w:val="21305F"/>
          <w:sz w:val="21"/>
          <w:szCs w:val="21"/>
        </w:rPr>
        <w:t>........................................................................</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Strong"/>
          <w:rFonts w:ascii="Arial" w:hAnsi="Arial" w:cs="Arial"/>
          <w:color w:val="21305F"/>
          <w:sz w:val="21"/>
          <w:szCs w:val="21"/>
        </w:rPr>
        <w:t>Άρθρο έβδομο</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Style w:val="Strong"/>
          <w:rFonts w:ascii="Arial" w:hAnsi="Arial" w:cs="Arial"/>
          <w:color w:val="21305F"/>
          <w:sz w:val="21"/>
          <w:szCs w:val="21"/>
        </w:rPr>
        <w:t>Έναρξη ισχύος</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Fonts w:ascii="Arial" w:hAnsi="Arial" w:cs="Arial"/>
          <w:color w:val="21305F"/>
          <w:sz w:val="21"/>
          <w:szCs w:val="21"/>
        </w:rPr>
        <w:t>1. Οι διατάξεις του άρθρου πρώτου ισχύουν από την 5η Ιουνίου 2014.</w:t>
      </w:r>
    </w:p>
    <w:p w:rsidR="00CB266F" w:rsidRDefault="00CB266F" w:rsidP="00CB266F">
      <w:pPr>
        <w:pStyle w:val="NormalWeb"/>
        <w:shd w:val="clear" w:color="auto" w:fill="FDFDFD"/>
        <w:spacing w:line="253" w:lineRule="atLeast"/>
        <w:jc w:val="both"/>
        <w:rPr>
          <w:rFonts w:ascii="Arial" w:hAnsi="Arial" w:cs="Arial"/>
          <w:color w:val="21305F"/>
          <w:sz w:val="21"/>
          <w:szCs w:val="21"/>
        </w:rPr>
      </w:pPr>
      <w:r>
        <w:rPr>
          <w:rFonts w:ascii="Arial" w:hAnsi="Arial" w:cs="Arial"/>
          <w:color w:val="21305F"/>
          <w:sz w:val="21"/>
          <w:szCs w:val="21"/>
        </w:rPr>
        <w:lastRenderedPageBreak/>
        <w:t>2. Οι λοιπές διατάξεις του νόμου αυτού ισχύουν από τη δημοσίευσή του στην Εφημερίδα της Κυβερνήσεως, εκτός αν ορίζεται διαφορετικά στις διατάξεις του.</w:t>
      </w:r>
    </w:p>
    <w:p w:rsidR="00CB266F" w:rsidRDefault="00CB266F" w:rsidP="00CB266F">
      <w:pPr>
        <w:pStyle w:val="NormalWeb"/>
        <w:shd w:val="clear" w:color="auto" w:fill="FDFDFD"/>
        <w:spacing w:line="253" w:lineRule="atLeast"/>
        <w:jc w:val="center"/>
        <w:rPr>
          <w:rFonts w:ascii="Arial" w:hAnsi="Arial" w:cs="Arial"/>
          <w:color w:val="21305F"/>
          <w:sz w:val="21"/>
          <w:szCs w:val="21"/>
        </w:rPr>
      </w:pPr>
      <w:r>
        <w:rPr>
          <w:rFonts w:ascii="Arial" w:hAnsi="Arial" w:cs="Arial"/>
          <w:color w:val="21305F"/>
          <w:sz w:val="21"/>
          <w:szCs w:val="21"/>
        </w:rPr>
        <w:t>Αθήνα, 17 Οκτωβρίου 2014</w:t>
      </w:r>
    </w:p>
    <w:p w:rsidR="00CB266F" w:rsidRPr="00956B1A" w:rsidRDefault="00CB266F" w:rsidP="00CB266F">
      <w:pPr>
        <w:spacing w:line="240" w:lineRule="auto"/>
        <w:ind w:firstLine="0"/>
        <w:rPr>
          <w:rFonts w:asciiTheme="majorHAnsi" w:hAnsiTheme="majorHAnsi"/>
          <w:sz w:val="28"/>
          <w:szCs w:val="28"/>
        </w:rPr>
      </w:pPr>
    </w:p>
    <w:p w:rsidR="00CB266F" w:rsidRPr="00956B1A" w:rsidRDefault="00CB266F" w:rsidP="00CB266F">
      <w:pPr>
        <w:spacing w:line="240" w:lineRule="auto"/>
        <w:ind w:firstLine="0"/>
        <w:rPr>
          <w:rFonts w:asciiTheme="majorHAnsi" w:hAnsiTheme="majorHAnsi"/>
          <w:sz w:val="28"/>
          <w:szCs w:val="28"/>
        </w:rPr>
      </w:pPr>
      <w:r w:rsidRPr="00956B1A">
        <w:rPr>
          <w:rFonts w:asciiTheme="majorHAnsi" w:hAnsiTheme="majorHAnsi"/>
          <w:sz w:val="28"/>
          <w:szCs w:val="28"/>
        </w:rPr>
        <w:t xml:space="preserve">Οι παραπάνω πληροφορίες αντλήθηκαν από το τεύχος της </w:t>
      </w:r>
      <w:r w:rsidRPr="00956B1A">
        <w:rPr>
          <w:rFonts w:asciiTheme="majorHAnsi" w:hAnsiTheme="majorHAnsi"/>
          <w:sz w:val="28"/>
          <w:szCs w:val="28"/>
          <w:u w:val="single"/>
        </w:rPr>
        <w:t>16</w:t>
      </w:r>
      <w:r w:rsidRPr="00956B1A">
        <w:rPr>
          <w:rFonts w:asciiTheme="majorHAnsi" w:hAnsiTheme="majorHAnsi"/>
          <w:sz w:val="28"/>
          <w:szCs w:val="28"/>
          <w:u w:val="single"/>
          <w:vertAlign w:val="superscript"/>
        </w:rPr>
        <w:t>ης</w:t>
      </w:r>
      <w:r w:rsidRPr="00956B1A">
        <w:rPr>
          <w:rFonts w:asciiTheme="majorHAnsi" w:hAnsiTheme="majorHAnsi"/>
          <w:sz w:val="28"/>
          <w:szCs w:val="28"/>
          <w:u w:val="single"/>
        </w:rPr>
        <w:t xml:space="preserve"> Δεκεμβρίου 2014 </w:t>
      </w:r>
      <w:r w:rsidRPr="00956B1A">
        <w:rPr>
          <w:rFonts w:asciiTheme="majorHAnsi" w:hAnsiTheme="majorHAnsi"/>
          <w:sz w:val="28"/>
          <w:szCs w:val="28"/>
        </w:rPr>
        <w:t xml:space="preserve">του </w:t>
      </w:r>
      <w:r w:rsidRPr="00956B1A">
        <w:rPr>
          <w:rFonts w:asciiTheme="majorHAnsi" w:hAnsiTheme="majorHAnsi"/>
          <w:b/>
          <w:sz w:val="28"/>
          <w:szCs w:val="28"/>
          <w:u w:val="single"/>
        </w:rPr>
        <w:t>Δελτίου Εργατικής Νομοθεσίας</w:t>
      </w:r>
      <w:r w:rsidR="00956B1A">
        <w:rPr>
          <w:rFonts w:asciiTheme="majorHAnsi" w:hAnsiTheme="majorHAnsi"/>
          <w:b/>
          <w:sz w:val="28"/>
          <w:szCs w:val="28"/>
          <w:u w:val="single"/>
        </w:rPr>
        <w:t xml:space="preserve"> </w:t>
      </w:r>
      <w:r w:rsidR="00956B1A">
        <w:rPr>
          <w:rFonts w:asciiTheme="majorHAnsi" w:hAnsiTheme="majorHAnsi"/>
          <w:sz w:val="28"/>
          <w:szCs w:val="28"/>
        </w:rPr>
        <w:t>από το σχετικό άρθρο του καθ. κ. Λεβέντη</w:t>
      </w:r>
      <w:r w:rsidRPr="00956B1A">
        <w:rPr>
          <w:rFonts w:asciiTheme="majorHAnsi" w:hAnsiTheme="majorHAnsi"/>
          <w:sz w:val="32"/>
          <w:szCs w:val="28"/>
        </w:rPr>
        <w:t xml:space="preserve">. </w:t>
      </w:r>
      <w:r w:rsidRPr="00956B1A">
        <w:rPr>
          <w:rFonts w:asciiTheme="majorHAnsi" w:hAnsiTheme="majorHAnsi"/>
          <w:sz w:val="28"/>
          <w:szCs w:val="28"/>
        </w:rPr>
        <w:t>Για περαιτέρω εμβάθυνση σας παραπέμπω εκεί.</w:t>
      </w:r>
    </w:p>
    <w:sectPr w:rsidR="00CB266F" w:rsidRPr="00956B1A" w:rsidSect="00393D4E">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486D" w:rsidRDefault="0080486D" w:rsidP="00EE36D3">
      <w:pPr>
        <w:spacing w:after="0" w:line="240" w:lineRule="auto"/>
      </w:pPr>
      <w:r>
        <w:separator/>
      </w:r>
    </w:p>
  </w:endnote>
  <w:endnote w:type="continuationSeparator" w:id="1">
    <w:p w:rsidR="0080486D" w:rsidRDefault="0080486D" w:rsidP="00EE36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68937"/>
      <w:docPartObj>
        <w:docPartGallery w:val="Page Numbers (Bottom of Page)"/>
        <w:docPartUnique/>
      </w:docPartObj>
    </w:sdtPr>
    <w:sdtContent>
      <w:p w:rsidR="009F7559" w:rsidRDefault="00830232">
        <w:pPr>
          <w:pStyle w:val="Footer"/>
          <w:jc w:val="center"/>
        </w:pPr>
        <w:fldSimple w:instr=" PAGE   \* MERGEFORMAT ">
          <w:r w:rsidR="00BF4AF7">
            <w:rPr>
              <w:noProof/>
            </w:rPr>
            <w:t>10</w:t>
          </w:r>
        </w:fldSimple>
      </w:p>
    </w:sdtContent>
  </w:sdt>
  <w:p w:rsidR="009F7559" w:rsidRDefault="009F75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486D" w:rsidRDefault="0080486D" w:rsidP="00EE36D3">
      <w:pPr>
        <w:spacing w:after="0" w:line="240" w:lineRule="auto"/>
      </w:pPr>
      <w:r>
        <w:separator/>
      </w:r>
    </w:p>
  </w:footnote>
  <w:footnote w:type="continuationSeparator" w:id="1">
    <w:p w:rsidR="0080486D" w:rsidRDefault="0080486D" w:rsidP="00EE36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F0258A"/>
    <w:multiLevelType w:val="hybridMultilevel"/>
    <w:tmpl w:val="CABE6E3A"/>
    <w:lvl w:ilvl="0" w:tplc="137831A4">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3525E"/>
    <w:rsid w:val="0009236A"/>
    <w:rsid w:val="000B2E7E"/>
    <w:rsid w:val="000D6F91"/>
    <w:rsid w:val="0013525E"/>
    <w:rsid w:val="002012BD"/>
    <w:rsid w:val="00224C8C"/>
    <w:rsid w:val="003314D3"/>
    <w:rsid w:val="0035673B"/>
    <w:rsid w:val="00393D4E"/>
    <w:rsid w:val="004D6081"/>
    <w:rsid w:val="005735F5"/>
    <w:rsid w:val="006A3444"/>
    <w:rsid w:val="006D716D"/>
    <w:rsid w:val="00743E4B"/>
    <w:rsid w:val="0080013E"/>
    <w:rsid w:val="0080486D"/>
    <w:rsid w:val="00830232"/>
    <w:rsid w:val="008358B3"/>
    <w:rsid w:val="00857A61"/>
    <w:rsid w:val="008949ED"/>
    <w:rsid w:val="00956B1A"/>
    <w:rsid w:val="009A769C"/>
    <w:rsid w:val="009E1BFF"/>
    <w:rsid w:val="009E597B"/>
    <w:rsid w:val="009F7559"/>
    <w:rsid w:val="00A31E8C"/>
    <w:rsid w:val="00A643DC"/>
    <w:rsid w:val="00B81918"/>
    <w:rsid w:val="00BF4AF7"/>
    <w:rsid w:val="00C36FB5"/>
    <w:rsid w:val="00CB266F"/>
    <w:rsid w:val="00CC30D8"/>
    <w:rsid w:val="00CE7A3B"/>
    <w:rsid w:val="00D4150F"/>
    <w:rsid w:val="00DC00CF"/>
    <w:rsid w:val="00DD6FA0"/>
    <w:rsid w:val="00E51D81"/>
    <w:rsid w:val="00E668FE"/>
    <w:rsid w:val="00EE36D3"/>
    <w:rsid w:val="00FE460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40" w:line="276" w:lineRule="auto"/>
        <w:ind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D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444"/>
    <w:pPr>
      <w:ind w:left="720"/>
      <w:contextualSpacing/>
    </w:pPr>
  </w:style>
  <w:style w:type="paragraph" w:styleId="Header">
    <w:name w:val="header"/>
    <w:basedOn w:val="Normal"/>
    <w:link w:val="HeaderChar"/>
    <w:uiPriority w:val="99"/>
    <w:semiHidden/>
    <w:unhideWhenUsed/>
    <w:rsid w:val="00EE36D3"/>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EE36D3"/>
  </w:style>
  <w:style w:type="paragraph" w:styleId="Footer">
    <w:name w:val="footer"/>
    <w:basedOn w:val="Normal"/>
    <w:link w:val="FooterChar"/>
    <w:uiPriority w:val="99"/>
    <w:unhideWhenUsed/>
    <w:rsid w:val="00EE36D3"/>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36D3"/>
  </w:style>
  <w:style w:type="paragraph" w:styleId="NormalWeb">
    <w:name w:val="Normal (Web)"/>
    <w:basedOn w:val="Normal"/>
    <w:uiPriority w:val="99"/>
    <w:semiHidden/>
    <w:unhideWhenUsed/>
    <w:rsid w:val="00CB266F"/>
    <w:pPr>
      <w:spacing w:before="100" w:beforeAutospacing="1" w:after="100" w:afterAutospacing="1" w:line="240" w:lineRule="auto"/>
      <w:ind w:firstLine="0"/>
    </w:pPr>
    <w:rPr>
      <w:rFonts w:ascii="Times New Roman" w:eastAsia="Times New Roman" w:hAnsi="Times New Roman" w:cs="Times New Roman"/>
      <w:sz w:val="24"/>
      <w:szCs w:val="24"/>
      <w:lang w:eastAsia="el-GR"/>
    </w:rPr>
  </w:style>
  <w:style w:type="character" w:styleId="Strong">
    <w:name w:val="Strong"/>
    <w:basedOn w:val="DefaultParagraphFont"/>
    <w:uiPriority w:val="22"/>
    <w:qFormat/>
    <w:rsid w:val="00CB266F"/>
    <w:rPr>
      <w:b/>
      <w:bCs/>
    </w:rPr>
  </w:style>
  <w:style w:type="character" w:styleId="Emphasis">
    <w:name w:val="Emphasis"/>
    <w:basedOn w:val="DefaultParagraphFont"/>
    <w:uiPriority w:val="20"/>
    <w:qFormat/>
    <w:rsid w:val="00CB266F"/>
    <w:rPr>
      <w:i/>
      <w:iCs/>
    </w:rPr>
  </w:style>
</w:styles>
</file>

<file path=word/webSettings.xml><?xml version="1.0" encoding="utf-8"?>
<w:webSettings xmlns:r="http://schemas.openxmlformats.org/officeDocument/2006/relationships" xmlns:w="http://schemas.openxmlformats.org/wordprocessingml/2006/main">
  <w:divs>
    <w:div w:id="86340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1AFBB-0F1E-4EC3-8A56-48EE5BF5D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11</Pages>
  <Words>3486</Words>
  <Characters>18827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Νίκος</dc:creator>
  <cp:lastModifiedBy>Νίκος</cp:lastModifiedBy>
  <cp:revision>6</cp:revision>
  <dcterms:created xsi:type="dcterms:W3CDTF">2015-02-18T15:09:00Z</dcterms:created>
  <dcterms:modified xsi:type="dcterms:W3CDTF">2015-02-18T20:45:00Z</dcterms:modified>
</cp:coreProperties>
</file>