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BCC" w:rsidRDefault="00EE2364" w:rsidP="00EE2364">
      <w:pPr>
        <w:jc w:val="center"/>
        <w:rPr>
          <w:sz w:val="28"/>
          <w:szCs w:val="28"/>
        </w:rPr>
      </w:pPr>
      <w:r w:rsidRPr="00EE2364">
        <w:rPr>
          <w:b/>
          <w:sz w:val="28"/>
          <w:szCs w:val="28"/>
        </w:rPr>
        <w:t>ΣΥΓΚΡΙΤΙΚΟ ΔΙΚΑΙΟ</w:t>
      </w:r>
    </w:p>
    <w:p w:rsidR="00EE2364" w:rsidRDefault="00EE2364" w:rsidP="00EE2364">
      <w:pPr>
        <w:rPr>
          <w:b/>
          <w:sz w:val="28"/>
          <w:szCs w:val="28"/>
        </w:rPr>
      </w:pPr>
      <w:r w:rsidRPr="00EE2364">
        <w:rPr>
          <w:b/>
          <w:sz w:val="28"/>
          <w:szCs w:val="28"/>
          <w:lang w:val="en-US"/>
        </w:rPr>
        <w:t>I.</w:t>
      </w:r>
      <w:r w:rsidRPr="00EE2364">
        <w:rPr>
          <w:b/>
          <w:sz w:val="28"/>
          <w:szCs w:val="28"/>
        </w:rPr>
        <w:t>ΓΕΝΙΚΟ ΜΕΡΟΣ</w:t>
      </w:r>
    </w:p>
    <w:p w:rsidR="00EE2364" w:rsidRDefault="00EE2364" w:rsidP="00EE2364">
      <w:pPr>
        <w:rPr>
          <w:b/>
          <w:sz w:val="28"/>
          <w:szCs w:val="28"/>
        </w:rPr>
      </w:pPr>
      <w:r w:rsidRPr="00EE2364">
        <w:rPr>
          <w:b/>
          <w:sz w:val="28"/>
          <w:szCs w:val="28"/>
        </w:rPr>
        <w:t>Α.ΠΟΙΚΙΛΙΑ ΝΟΜΙΚΩΝ ΣΥΣΤΗΜΑΤΩΝ</w:t>
      </w:r>
    </w:p>
    <w:p w:rsidR="00EE2364" w:rsidRDefault="00EE2364" w:rsidP="00EE2364">
      <w:pPr>
        <w:rPr>
          <w:sz w:val="28"/>
          <w:szCs w:val="28"/>
        </w:rPr>
      </w:pPr>
      <w:r>
        <w:rPr>
          <w:b/>
          <w:sz w:val="28"/>
          <w:szCs w:val="28"/>
        </w:rPr>
        <w:t xml:space="preserve">   </w:t>
      </w:r>
      <w:proofErr w:type="spellStart"/>
      <w:r>
        <w:rPr>
          <w:b/>
          <w:sz w:val="28"/>
          <w:szCs w:val="28"/>
          <w:lang w:val="en-US"/>
        </w:rPr>
        <w:t>i</w:t>
      </w:r>
      <w:proofErr w:type="spellEnd"/>
      <w:r w:rsidRPr="00EE2364">
        <w:rPr>
          <w:b/>
          <w:sz w:val="28"/>
          <w:szCs w:val="28"/>
        </w:rPr>
        <w:t>.</w:t>
      </w:r>
      <w:r w:rsidRPr="00EE2364">
        <w:rPr>
          <w:b/>
          <w:sz w:val="28"/>
          <w:szCs w:val="28"/>
          <w:u w:val="single"/>
        </w:rPr>
        <w:t>ΔΙΑΦΟΡΕΣ-ΟΜΟΙΟΤΗΤΕΣ</w:t>
      </w:r>
    </w:p>
    <w:p w:rsidR="00EE2364" w:rsidRDefault="00EE2364" w:rsidP="00EE2364">
      <w:pPr>
        <w:rPr>
          <w:sz w:val="28"/>
          <w:szCs w:val="28"/>
        </w:rPr>
      </w:pPr>
      <w:r>
        <w:rPr>
          <w:sz w:val="28"/>
          <w:szCs w:val="28"/>
        </w:rPr>
        <w:t>Νομικό σύστημα → σύνολο κανόνων και θεσμών που σχηματίζουν δίκαιο.</w:t>
      </w:r>
    </w:p>
    <w:p w:rsidR="00EE2364" w:rsidRDefault="00EE2364" w:rsidP="00EE2364">
      <w:pPr>
        <w:rPr>
          <w:sz w:val="28"/>
          <w:szCs w:val="28"/>
        </w:rPr>
      </w:pPr>
      <w:r>
        <w:rPr>
          <w:sz w:val="28"/>
          <w:szCs w:val="28"/>
        </w:rPr>
        <w:t xml:space="preserve">Αποκλίσεις νομικών συστημάτων μεταξύ τους → οργανώνονται σε διάφορα επίπεδα : 1) διαφορές </w:t>
      </w:r>
      <w:r w:rsidRPr="00EE2364">
        <w:rPr>
          <w:b/>
          <w:sz w:val="28"/>
          <w:szCs w:val="28"/>
        </w:rPr>
        <w:t>στις ρυθμίσεις ουσιαστικού δικαίου</w:t>
      </w:r>
      <w:r>
        <w:rPr>
          <w:sz w:val="28"/>
          <w:szCs w:val="28"/>
        </w:rPr>
        <w:t xml:space="preserve"> πχ δικαιοπρακτική ικανότητα ανηλίκου</w:t>
      </w:r>
    </w:p>
    <w:p w:rsidR="00EE2364" w:rsidRDefault="00EE2364" w:rsidP="00EE2364">
      <w:pPr>
        <w:rPr>
          <w:sz w:val="28"/>
          <w:szCs w:val="28"/>
        </w:rPr>
      </w:pPr>
      <w:r>
        <w:rPr>
          <w:sz w:val="28"/>
          <w:szCs w:val="28"/>
        </w:rPr>
        <w:t xml:space="preserve">2) διαφορές </w:t>
      </w:r>
      <w:r w:rsidRPr="00EE2364">
        <w:rPr>
          <w:b/>
          <w:sz w:val="28"/>
          <w:szCs w:val="28"/>
        </w:rPr>
        <w:t>στις ρυθμίσεις ολόκληρων θεσμών</w:t>
      </w:r>
      <w:r>
        <w:rPr>
          <w:sz w:val="28"/>
          <w:szCs w:val="28"/>
        </w:rPr>
        <w:t xml:space="preserve"> πχ κληρονομική διαδοχή</w:t>
      </w:r>
    </w:p>
    <w:p w:rsidR="00EE2364" w:rsidRDefault="00EE2364" w:rsidP="00EE2364">
      <w:pPr>
        <w:rPr>
          <w:sz w:val="28"/>
          <w:szCs w:val="28"/>
        </w:rPr>
      </w:pPr>
      <w:r>
        <w:rPr>
          <w:sz w:val="28"/>
          <w:szCs w:val="28"/>
        </w:rPr>
        <w:t xml:space="preserve">3) διαφορές </w:t>
      </w:r>
      <w:r w:rsidRPr="00EE2364">
        <w:rPr>
          <w:b/>
          <w:sz w:val="28"/>
          <w:szCs w:val="28"/>
        </w:rPr>
        <w:t>στο πνεύμα των κανόνων</w:t>
      </w:r>
      <w:r>
        <w:rPr>
          <w:sz w:val="28"/>
          <w:szCs w:val="28"/>
        </w:rPr>
        <w:t xml:space="preserve"> ακόμα και αν διατυπώνονται κατά τρόπο ανάλογο σε περισσότερα νομικά συστήματα πχ ρύθμιση της αφερεγγυότητας του δανειστή → σε άλλα δίκαια στοχεύει στην προστασία του ίδιου του δανειστή και σε άλλα στην προστασία των πιστωτών του</w:t>
      </w:r>
    </w:p>
    <w:p w:rsidR="00EE2364" w:rsidRDefault="00EE2364" w:rsidP="00EE2364">
      <w:pPr>
        <w:rPr>
          <w:sz w:val="28"/>
          <w:szCs w:val="28"/>
        </w:rPr>
      </w:pPr>
      <w:r>
        <w:rPr>
          <w:sz w:val="28"/>
          <w:szCs w:val="28"/>
        </w:rPr>
        <w:t xml:space="preserve">4) διαφορές </w:t>
      </w:r>
      <w:r w:rsidRPr="00E24F38">
        <w:rPr>
          <w:b/>
          <w:sz w:val="28"/>
          <w:szCs w:val="28"/>
        </w:rPr>
        <w:t>στον τρόπο παραγωγής  των κανόνων</w:t>
      </w:r>
      <w:r>
        <w:rPr>
          <w:sz w:val="28"/>
          <w:szCs w:val="28"/>
        </w:rPr>
        <w:t xml:space="preserve"> πχ σε άλλα νομικά συστήματα(βλ. ελληνικό) οι κανόνες δικαίου προέρχονται από την νομοθετική εξουσία και σε άλλα (βλ. </w:t>
      </w:r>
      <w:proofErr w:type="spellStart"/>
      <w:r>
        <w:rPr>
          <w:sz w:val="28"/>
          <w:szCs w:val="28"/>
        </w:rPr>
        <w:t>αγγλοσαξωνικό</w:t>
      </w:r>
      <w:proofErr w:type="spellEnd"/>
      <w:r>
        <w:rPr>
          <w:sz w:val="28"/>
          <w:szCs w:val="28"/>
        </w:rPr>
        <w:t xml:space="preserve">) από  τη νομολογία, ενώ σε άλλα υπάρχει ένας </w:t>
      </w:r>
      <w:r w:rsidR="00E24F38">
        <w:rPr>
          <w:sz w:val="28"/>
          <w:szCs w:val="28"/>
        </w:rPr>
        <w:t>συγκερασμό ή δίνεται έμφαση ακόμη και στο έθιμο (βλ. αφρικανικά κράτη), την θρησκεία (βλ. μουσουλμανικό δίκαιο), την φιλοσοφία(βλ. κινεζικό δίκαιο) κλπ.</w:t>
      </w:r>
    </w:p>
    <w:p w:rsidR="004E2EF2" w:rsidRDefault="004E2EF2" w:rsidP="00EE2364">
      <w:pPr>
        <w:rPr>
          <w:sz w:val="28"/>
          <w:szCs w:val="28"/>
        </w:rPr>
      </w:pPr>
    </w:p>
    <w:p w:rsidR="004E2EF2" w:rsidRDefault="004E2EF2" w:rsidP="00EE2364">
      <w:pPr>
        <w:rPr>
          <w:b/>
          <w:sz w:val="28"/>
          <w:szCs w:val="28"/>
          <w:u w:val="single"/>
        </w:rPr>
      </w:pPr>
      <w:r w:rsidRPr="004E2EF2">
        <w:rPr>
          <w:b/>
          <w:sz w:val="28"/>
          <w:szCs w:val="28"/>
          <w:u w:val="single"/>
          <w:lang w:val="en-US"/>
        </w:rPr>
        <w:t>ii</w:t>
      </w:r>
      <w:r w:rsidRPr="004E2EF2">
        <w:rPr>
          <w:b/>
          <w:sz w:val="28"/>
          <w:szCs w:val="28"/>
          <w:u w:val="single"/>
        </w:rPr>
        <w:t>. ΠΑΡΑΓΟΝΤΕΣ ΔΙΑΦΟΡΟΠΟΙΗΣΗΣ ΚΑΙ ΟΜΟΙΟΜΟΡΦΙΑΣ ΤΩΝ ΔΙΚΑΙΩΝ</w:t>
      </w:r>
    </w:p>
    <w:p w:rsidR="004E2EF2" w:rsidRPr="004E2EF2" w:rsidRDefault="004E2EF2" w:rsidP="004E2EF2">
      <w:pPr>
        <w:pStyle w:val="a3"/>
        <w:numPr>
          <w:ilvl w:val="0"/>
          <w:numId w:val="1"/>
        </w:numPr>
        <w:rPr>
          <w:b/>
          <w:sz w:val="28"/>
          <w:szCs w:val="28"/>
          <w:u w:val="single"/>
        </w:rPr>
      </w:pPr>
      <w:r w:rsidRPr="00E6148D">
        <w:rPr>
          <w:sz w:val="28"/>
          <w:szCs w:val="28"/>
          <w:u w:val="single"/>
        </w:rPr>
        <w:t>Γεωγραφικές- Κλιματολογικές συνθήκες</w:t>
      </w:r>
      <w:r>
        <w:rPr>
          <w:sz w:val="28"/>
          <w:szCs w:val="28"/>
        </w:rPr>
        <w:t xml:space="preserve"> → χαρακτηριστικό παράδειγμα η Αγγλία → νησιωτική χώρα, απομονωμένη, σύντομα αναδείχθηκε σε ναυτιλιακή δύναμη. Κατά συνέπεια το νομικό της σύστημα οργανώθηκε γύρω από τον άξονα αυτόν.</w:t>
      </w:r>
    </w:p>
    <w:p w:rsidR="004E2EF2" w:rsidRPr="00E93A68" w:rsidRDefault="004E2EF2" w:rsidP="004E2EF2">
      <w:pPr>
        <w:pStyle w:val="a3"/>
        <w:numPr>
          <w:ilvl w:val="0"/>
          <w:numId w:val="1"/>
        </w:numPr>
        <w:rPr>
          <w:b/>
          <w:sz w:val="28"/>
          <w:szCs w:val="28"/>
          <w:u w:val="single"/>
        </w:rPr>
      </w:pPr>
      <w:r w:rsidRPr="00E6148D">
        <w:rPr>
          <w:sz w:val="28"/>
          <w:szCs w:val="28"/>
          <w:u w:val="single"/>
        </w:rPr>
        <w:t>Οικονομικό σύστημα</w:t>
      </w:r>
      <w:r>
        <w:rPr>
          <w:sz w:val="28"/>
          <w:szCs w:val="28"/>
        </w:rPr>
        <w:t xml:space="preserve"> → αυτονόητο είναι ότι το</w:t>
      </w:r>
      <w:r w:rsidR="00FA6B87">
        <w:rPr>
          <w:sz w:val="28"/>
          <w:szCs w:val="28"/>
        </w:rPr>
        <w:t xml:space="preserve"> νομικό σύστημα ενός κράτους επηρεάζεται άμεσα και σε μεγάλο βαθμό από το οικονομικό σύστημα που επικρατεί σε αυτό. Είναι δυνατόν κράτη που διαθέτουν το ίδιο οικονομικό σύστημα αλλά διαφορετική </w:t>
      </w:r>
      <w:r w:rsidR="00FA6B87">
        <w:rPr>
          <w:sz w:val="28"/>
          <w:szCs w:val="28"/>
        </w:rPr>
        <w:lastRenderedPageBreak/>
        <w:t>οικονομική ανάπτυξη να έχουν διαφορετικό νομικό σύστημα, κάτι που είναι απόλυτα εύλογο.</w:t>
      </w:r>
    </w:p>
    <w:p w:rsidR="00E93A68" w:rsidRDefault="00E93A68" w:rsidP="00E93A68">
      <w:pPr>
        <w:pStyle w:val="a3"/>
        <w:ind w:left="502"/>
        <w:rPr>
          <w:sz w:val="28"/>
          <w:szCs w:val="28"/>
        </w:rPr>
      </w:pPr>
      <w:bookmarkStart w:id="0" w:name="_Hlk486848006"/>
      <w:r w:rsidRPr="00E93A68">
        <w:rPr>
          <w:sz w:val="28"/>
          <w:szCs w:val="28"/>
          <w:highlight w:val="yellow"/>
          <w:lang w:val="en-US"/>
        </w:rPr>
        <w:t>Bogdan</w:t>
      </w:r>
      <w:bookmarkEnd w:id="0"/>
      <w:r w:rsidRPr="00E93A68">
        <w:rPr>
          <w:sz w:val="28"/>
          <w:szCs w:val="28"/>
        </w:rPr>
        <w:t xml:space="preserve"> → </w:t>
      </w:r>
      <w:r>
        <w:rPr>
          <w:sz w:val="28"/>
          <w:szCs w:val="28"/>
        </w:rPr>
        <w:t>Μπορούν οι διαφορές στα οικονομικά συστήματα και αν ναι σε ποιο βαθμό, να εξηγήσουν και τις διαφορές των νομικών συστημάτων αναφορικά με τη δικαιϊκή προστασία των αστικών και πολιτικών δικαιωμάτων των πολιτών?</w:t>
      </w:r>
    </w:p>
    <w:p w:rsidR="00E93A68" w:rsidRDefault="00E93A68" w:rsidP="00E93A68">
      <w:pPr>
        <w:pStyle w:val="a3"/>
        <w:ind w:left="502"/>
        <w:rPr>
          <w:sz w:val="28"/>
          <w:szCs w:val="28"/>
        </w:rPr>
      </w:pPr>
      <w:r>
        <w:rPr>
          <w:sz w:val="28"/>
          <w:szCs w:val="28"/>
        </w:rPr>
        <w:t>Εμπειρικά παρατηρεί ότι στην πλειονότητά τους τα κράτη με δημοκρατικό καθεστώς το οικονομικό σύστημα που είχαν υιοθετήσει ήταν αυτό της ελεύθερης αγοράς, χωρίς ωστόσο η άποψη αυτή να είναι αδιαμφισβήτητη.  Το σύστημα της ελεύθερης αγοράς παρατηρεί είναι αναγκαία συνθήκη προκειμένου να προστατευθούν τα αστικά και πολιτικά δικαιώματα των πολιτών, όχι όμως και ικανή συνθήκη, λαμβάνοντας υπόψη ότι υπήρξαν στην ιστορία και δικτατορικά καθεστώτα τα οποία υιοθέτησαν το σύστημα της ελεύθερης αγοράς</w:t>
      </w:r>
      <w:r w:rsidR="001E1D1F">
        <w:rPr>
          <w:sz w:val="28"/>
          <w:szCs w:val="28"/>
        </w:rPr>
        <w:t xml:space="preserve">. Ο </w:t>
      </w:r>
      <w:r w:rsidR="001E1D1F" w:rsidRPr="00E93A68">
        <w:rPr>
          <w:sz w:val="28"/>
          <w:szCs w:val="28"/>
          <w:highlight w:val="yellow"/>
          <w:lang w:val="en-US"/>
        </w:rPr>
        <w:t>Bogdan</w:t>
      </w:r>
      <w:r w:rsidR="001E1D1F">
        <w:rPr>
          <w:sz w:val="28"/>
          <w:szCs w:val="28"/>
        </w:rPr>
        <w:t xml:space="preserve"> εξηγεί αυτή τη σύνδεση οικονομίας της αγοράς και πολιτικής δημοκρατίας με τα εξής 3 επιχειρήματα : α) </w:t>
      </w:r>
      <w:r w:rsidR="001E1D1F" w:rsidRPr="001E1D1F">
        <w:rPr>
          <w:b/>
          <w:sz w:val="28"/>
          <w:szCs w:val="28"/>
        </w:rPr>
        <w:t>αποτελεσματικότητα της οικονομίας της αγοράς</w:t>
      </w:r>
      <w:r w:rsidR="001E1D1F">
        <w:rPr>
          <w:sz w:val="28"/>
          <w:szCs w:val="28"/>
        </w:rPr>
        <w:t xml:space="preserve"> → σε κράτη με χαμηλό βιοτικό επίπεδο ήταν έντονη και διάχυτη μια γενικότερη κοινωνική δυσαρέσκεια που έκανε τις κυβερνήσεις να αισθάνονται ότι βρίσκονται συνεχώς υπό μία διαρκή απειλή ανατροπής τους και έτσι περιόρισαν τα αστικά και πολιτικά δικαιώματα των πολιτών. β) </w:t>
      </w:r>
      <w:r w:rsidR="001E1D1F" w:rsidRPr="001E1D1F">
        <w:rPr>
          <w:b/>
          <w:sz w:val="28"/>
          <w:szCs w:val="28"/>
        </w:rPr>
        <w:t>Ένα οικονομικό καθεστώς ελεύθερης αγοράς δεν εξασφαλίζει στο κράτος απόλυτο έλεγχο επί της καθημερινής ζωής των πολιτών του</w:t>
      </w:r>
      <w:r w:rsidR="001E1D1F">
        <w:rPr>
          <w:sz w:val="28"/>
          <w:szCs w:val="28"/>
        </w:rPr>
        <w:t xml:space="preserve">. Το κράτος είναι ο μοναδικός εργοδότης, ο μοναδικός παροχέας και οι πολίτες καταλήγουν απόλυτα εξαρτημένοι από αυτό. γ) </w:t>
      </w:r>
      <w:r w:rsidR="001E1D1F" w:rsidRPr="001E1D1F">
        <w:rPr>
          <w:b/>
          <w:sz w:val="28"/>
          <w:szCs w:val="28"/>
        </w:rPr>
        <w:t>Η λειτουργία της οικονομίας της αγοράς απαιτεί τον σεβασμό στον κανόνα δικαίου</w:t>
      </w:r>
      <w:r w:rsidR="001E1D1F">
        <w:rPr>
          <w:sz w:val="28"/>
          <w:szCs w:val="28"/>
        </w:rPr>
        <w:t>.</w:t>
      </w:r>
    </w:p>
    <w:p w:rsidR="001E1D1F" w:rsidRDefault="001E1D1F" w:rsidP="001E1D1F">
      <w:pPr>
        <w:pStyle w:val="a3"/>
        <w:numPr>
          <w:ilvl w:val="0"/>
          <w:numId w:val="1"/>
        </w:numPr>
        <w:rPr>
          <w:sz w:val="28"/>
          <w:szCs w:val="28"/>
        </w:rPr>
      </w:pPr>
      <w:r w:rsidRPr="00E6148D">
        <w:rPr>
          <w:sz w:val="28"/>
          <w:szCs w:val="28"/>
          <w:u w:val="single"/>
        </w:rPr>
        <w:t>Τυχαίοι και άγνωστοι παράγοντες</w:t>
      </w:r>
      <w:r>
        <w:rPr>
          <w:sz w:val="28"/>
          <w:szCs w:val="28"/>
        </w:rPr>
        <w:t xml:space="preserve"> → κάθε τυχαίο γεγονός που ώθησε σε μία νομοθετική ή άλλη μεταβολή στα πλαίσια μιας έννομης τάξης αποτελεί επίσης έναν παράγοντα διαφοροποίησης ή ομοιομορφίας των διαφόρων νομικών συστημάτων.</w:t>
      </w:r>
    </w:p>
    <w:p w:rsidR="003F1E1C" w:rsidRDefault="003F1E1C" w:rsidP="003F1E1C">
      <w:pPr>
        <w:pStyle w:val="a3"/>
        <w:ind w:left="502"/>
        <w:rPr>
          <w:sz w:val="28"/>
          <w:szCs w:val="28"/>
          <w:u w:val="single"/>
        </w:rPr>
      </w:pPr>
    </w:p>
    <w:p w:rsidR="003F1E1C" w:rsidRDefault="005A15E7" w:rsidP="003F1E1C">
      <w:pPr>
        <w:pStyle w:val="a3"/>
        <w:ind w:left="502"/>
        <w:rPr>
          <w:sz w:val="28"/>
          <w:szCs w:val="28"/>
        </w:rPr>
      </w:pPr>
      <w:r w:rsidRPr="005A15E7">
        <w:rPr>
          <w:b/>
          <w:sz w:val="28"/>
          <w:szCs w:val="28"/>
        </w:rPr>
        <w:t xml:space="preserve">Πηγές </w:t>
      </w:r>
      <w:r>
        <w:rPr>
          <w:b/>
          <w:sz w:val="28"/>
          <w:szCs w:val="28"/>
        </w:rPr>
        <w:t xml:space="preserve">του </w:t>
      </w:r>
      <w:r w:rsidRPr="005A15E7">
        <w:rPr>
          <w:b/>
          <w:sz w:val="28"/>
          <w:szCs w:val="28"/>
        </w:rPr>
        <w:t>δικαίου</w:t>
      </w:r>
      <w:r>
        <w:rPr>
          <w:sz w:val="28"/>
          <w:szCs w:val="28"/>
        </w:rPr>
        <w:t xml:space="preserve"> από τις οποίες θα πρέπει να αντλήσει το υλικό του το συγκριτικό δίκαιο είναι καταρχάς τα νομοθετικά κείμενα, η νομολογία, η θεωρίας που πολλές φορές καλείται να συμπληρώσει τη νομολογία, καθώς επίσης και οι ανθρώπινες συμπεριφορές στο πλαίσιο της καθημερινής πρακτικής και του εθίμου.</w:t>
      </w:r>
    </w:p>
    <w:p w:rsidR="005218F9" w:rsidRDefault="00D42401" w:rsidP="003F1E1C">
      <w:pPr>
        <w:pStyle w:val="a3"/>
        <w:ind w:left="502"/>
        <w:rPr>
          <w:b/>
          <w:sz w:val="28"/>
          <w:szCs w:val="28"/>
          <w:u w:val="single"/>
        </w:rPr>
      </w:pPr>
      <w:r w:rsidRPr="00D42401">
        <w:rPr>
          <w:b/>
          <w:sz w:val="28"/>
          <w:szCs w:val="28"/>
          <w:u w:val="single"/>
        </w:rPr>
        <w:lastRenderedPageBreak/>
        <w:t>ΤΑ ΑΝΤΙΚΕΙΜΕΝΑ ΤΗΣ  ΣΥΓΚΡΙΣΗΣ</w:t>
      </w:r>
    </w:p>
    <w:p w:rsidR="00D42401" w:rsidRDefault="00D42401" w:rsidP="003F1E1C">
      <w:pPr>
        <w:pStyle w:val="a3"/>
        <w:ind w:left="502"/>
        <w:rPr>
          <w:sz w:val="28"/>
          <w:szCs w:val="28"/>
          <w:lang w:val="en-US"/>
        </w:rPr>
      </w:pPr>
      <w:r>
        <w:rPr>
          <w:sz w:val="28"/>
          <w:szCs w:val="28"/>
        </w:rPr>
        <w:t>Τι συγκρίνω? → Η σύγκριση γίνεται μεταξύ είτε νομικών συστημάτων εν συνόλω είτε μεταξύ κλάδων δικαίου είτε μεταξύ επιμέρους ρυθμίσεων που αφορούν σε έναν συγκεκριμένο προβληματισμό στα εκάστοτε νομικά συστήματα.</w:t>
      </w:r>
    </w:p>
    <w:p w:rsidR="00FF299A" w:rsidRDefault="00FF299A" w:rsidP="003F1E1C">
      <w:pPr>
        <w:pStyle w:val="a3"/>
        <w:ind w:left="502"/>
        <w:rPr>
          <w:sz w:val="28"/>
          <w:szCs w:val="28"/>
          <w:lang w:val="en-US"/>
        </w:rPr>
      </w:pPr>
    </w:p>
    <w:p w:rsidR="00FF299A" w:rsidRDefault="00FF299A" w:rsidP="003F1E1C">
      <w:pPr>
        <w:pStyle w:val="a3"/>
        <w:ind w:left="502"/>
        <w:rPr>
          <w:sz w:val="28"/>
          <w:szCs w:val="28"/>
        </w:rPr>
      </w:pPr>
    </w:p>
    <w:p w:rsidR="00FF299A" w:rsidRDefault="00FF299A" w:rsidP="003F1E1C">
      <w:pPr>
        <w:pStyle w:val="a3"/>
        <w:ind w:left="502"/>
        <w:rPr>
          <w:b/>
          <w:sz w:val="28"/>
          <w:szCs w:val="28"/>
          <w:u w:val="single"/>
        </w:rPr>
      </w:pPr>
      <w:r w:rsidRPr="00FF299A">
        <w:rPr>
          <w:b/>
          <w:sz w:val="28"/>
          <w:szCs w:val="28"/>
          <w:u w:val="single"/>
        </w:rPr>
        <w:t>ΜΙΚΡΟΣΥΓΚΡΙΣΗ-ΜΑΚΡΟΣΥΓΚΡΙΣΗ</w:t>
      </w:r>
    </w:p>
    <w:p w:rsidR="003973F4" w:rsidRDefault="003973F4" w:rsidP="003973F4">
      <w:pPr>
        <w:rPr>
          <w:sz w:val="28"/>
          <w:szCs w:val="28"/>
        </w:rPr>
      </w:pPr>
      <w:r>
        <w:rPr>
          <w:sz w:val="28"/>
          <w:szCs w:val="28"/>
        </w:rPr>
        <w:t xml:space="preserve">      Είναι η μορφή που μπορεί να λάβει η συγκριτική έρευνα και μελέτη.</w:t>
      </w:r>
    </w:p>
    <w:p w:rsidR="003973F4" w:rsidRDefault="003973F4" w:rsidP="003973F4">
      <w:pPr>
        <w:rPr>
          <w:sz w:val="28"/>
          <w:szCs w:val="28"/>
        </w:rPr>
      </w:pPr>
      <w:r w:rsidRPr="003973F4">
        <w:rPr>
          <w:sz w:val="28"/>
          <w:szCs w:val="28"/>
          <w:highlight w:val="yellow"/>
        </w:rPr>
        <w:t>Μικροσύγκριση</w:t>
      </w:r>
      <w:r w:rsidRPr="003973F4">
        <w:rPr>
          <w:sz w:val="28"/>
          <w:szCs w:val="28"/>
        </w:rPr>
        <w:t xml:space="preserve"> →</w:t>
      </w:r>
      <w:r>
        <w:rPr>
          <w:sz w:val="28"/>
          <w:szCs w:val="28"/>
        </w:rPr>
        <w:t xml:space="preserve"> αντικείμενό της είναι ειδικοί νομικοί κανόνες και θεσμοί. Ερευνώνται συγκεκριμένες λεπτομέρειες δύο ή περισσότερων δικαιϊκών συστημάτων, χωρίς να απομονώνονται από τα συστήματα όπου ανήκουν, διότι χάνουν έτσι την λειτουργικότητά τους και την σημασία τους. Αναδεικνύουν το νόημα και τη σπουδαιότητά τους μόνο όταν εξετάζονται σε συνάρτηση και με τα υπόλοιπα στοιχεία του συστήματος στο οποίο ανήκουν, πολιτισμικά, κοινωνικά κλπ. Ο ίδιος νομικός θεσμός αναλόγως του κοινωνικοπολιτισμικού πλαισίου μπορεί να εκπληρώνει πολύ διαφορετικές λειτουργίες στο εκάστοτε δικαιϊκό σύστημα.</w:t>
      </w:r>
      <w:r w:rsidR="00590CAA">
        <w:rPr>
          <w:sz w:val="28"/>
          <w:szCs w:val="28"/>
        </w:rPr>
        <w:t xml:space="preserve"> Η έρευνα ξεκινά από έναν συγκεκριμένο προβληματισμό και εξετάζεται ο τρόπος με τον οποίο αυτός ο προβληματισμός επιλύεται από το εκάστοτε νομικό σύστημα. Ο συγκριτικολόγος θα πρέπει να αναζητήσει σε βάθος την ρύθμιση που επιφυλάσσει το κάθε νομικό σύστημα για τον εκάστοτε προβληματισμό και να μην θεωρήσει ότι τέτοια ρύθμιση δεν  υφίσταται σε περίπτωση που δεν είναι εμφανές με την πρώτη ματιά, κρίνοντας με βάση το δικό του νομικό σύστημα. Αλλά και αν τέτοια ρύθμιση δεν ανευρεθεί εν τέλει, αυτό δεν θα πρέπει να αποτελέσει λόγο διακοπής της μελέτης από τον συγκριτικολόγο, διότι η αναζητούμενη λύση πιθανόν να βρίσκεται σε έναν κανόνα εθιμικού δικαίου ή σε μία κοινωνική πρακτική. Δεν σημαίνει ότι σε όλα τα νομικά συστήματα υπάρχει για κάθε πρόβλημα και ένας κανόνας δικαίου που θα το επιλύει, καθώς τη λειτουργία αυτή μπορεί να επιτελεί ένα έθιμο επί παραδείγματι.</w:t>
      </w:r>
    </w:p>
    <w:p w:rsidR="00057354" w:rsidRPr="003973F4" w:rsidRDefault="00057354" w:rsidP="003973F4">
      <w:pPr>
        <w:rPr>
          <w:sz w:val="28"/>
          <w:szCs w:val="28"/>
        </w:rPr>
      </w:pPr>
      <w:r w:rsidRPr="00057354">
        <w:rPr>
          <w:sz w:val="28"/>
          <w:szCs w:val="28"/>
          <w:highlight w:val="yellow"/>
        </w:rPr>
        <w:t>Μακροσύγκριση</w:t>
      </w:r>
      <w:r>
        <w:rPr>
          <w:sz w:val="28"/>
          <w:szCs w:val="28"/>
        </w:rPr>
        <w:t xml:space="preserve">  →αντικείμενό της είναι η μελέτη ολόκληρων νομικών συστημάτων ή ομάδων δικαίων</w:t>
      </w:r>
      <w:r w:rsidR="00DD5FC8">
        <w:rPr>
          <w:sz w:val="28"/>
          <w:szCs w:val="28"/>
        </w:rPr>
        <w:t xml:space="preserve">, πχ συγκρίνεται το ελληνικό με το ιαπωνικό δίκαιο, το μουσουλμανικό με το ινδουϊστικό ή τα ευρωπαϊκά ηπειρωτικά δίκαια με τα αγγλοσαξωνικά. </w:t>
      </w:r>
    </w:p>
    <w:p w:rsidR="00FF299A" w:rsidRDefault="00287C9F" w:rsidP="003F1E1C">
      <w:pPr>
        <w:pStyle w:val="a3"/>
        <w:ind w:left="502"/>
        <w:rPr>
          <w:sz w:val="28"/>
          <w:szCs w:val="28"/>
        </w:rPr>
      </w:pPr>
      <w:r>
        <w:rPr>
          <w:sz w:val="28"/>
          <w:szCs w:val="28"/>
        </w:rPr>
        <w:lastRenderedPageBreak/>
        <w:t>Αρχικά, η μελέτη επικεντρώθηκε στα ευρωπαϊκά ηπειρωτικά δίκαια και στη σύγκριση με αυτά των αγγλοσαξωνικών και άλλων δικαίων, για τον λόγο ότι το συγκριτικό δίκαιο αναπτύχθηκε καταρχάς στη δυτική Ευρώπη. Ως δυτικό δημιούργημα λοιπόν εύλογα απασχόλησε εκ πρώτοις τους συγκριτικολόγους η διάκριση των δυτικών δικαίων και η μελέτη αυτών. Πλέον, η κατάσταση έχει αλλάξει και επιχειρείται η σύγκριση και άλλων δικαίων από διάφορες περιοχές.</w:t>
      </w:r>
    </w:p>
    <w:p w:rsidR="00287C9F" w:rsidRDefault="00287C9F" w:rsidP="003F1E1C">
      <w:pPr>
        <w:pStyle w:val="a3"/>
        <w:ind w:left="502"/>
        <w:rPr>
          <w:sz w:val="28"/>
          <w:szCs w:val="28"/>
        </w:rPr>
      </w:pPr>
      <w:r w:rsidRPr="00287C9F">
        <w:rPr>
          <w:sz w:val="28"/>
          <w:szCs w:val="28"/>
          <w:highlight w:val="yellow"/>
          <w:lang w:val="en-US"/>
        </w:rPr>
        <w:t>Max</w:t>
      </w:r>
      <w:r w:rsidRPr="00287C9F">
        <w:rPr>
          <w:sz w:val="28"/>
          <w:szCs w:val="28"/>
          <w:highlight w:val="yellow"/>
        </w:rPr>
        <w:t xml:space="preserve"> </w:t>
      </w:r>
      <w:r w:rsidRPr="00287C9F">
        <w:rPr>
          <w:sz w:val="28"/>
          <w:szCs w:val="28"/>
          <w:highlight w:val="yellow"/>
          <w:lang w:val="en-US"/>
        </w:rPr>
        <w:t>Weber</w:t>
      </w:r>
      <w:r>
        <w:rPr>
          <w:sz w:val="28"/>
          <w:szCs w:val="28"/>
        </w:rPr>
        <w:t xml:space="preserve"> </w:t>
      </w:r>
      <w:r w:rsidRPr="00287C9F">
        <w:rPr>
          <w:sz w:val="28"/>
          <w:szCs w:val="28"/>
        </w:rPr>
        <w:t>→</w:t>
      </w:r>
      <w:r>
        <w:rPr>
          <w:sz w:val="28"/>
          <w:szCs w:val="28"/>
        </w:rPr>
        <w:t xml:space="preserve"> το δικαιϊκό κλίμα του κάθε νομικού συστήματος επηρεάζεται-διαμορφώνεται από τους ανθρώπους που δρουν στα πλαίσια αυτού του συστήματος</w:t>
      </w:r>
      <w:r w:rsidR="00A04937">
        <w:rPr>
          <w:sz w:val="28"/>
          <w:szCs w:val="28"/>
        </w:rPr>
        <w:t>.</w:t>
      </w:r>
    </w:p>
    <w:p w:rsidR="00291915" w:rsidRDefault="00291915" w:rsidP="003F1E1C">
      <w:pPr>
        <w:pStyle w:val="a3"/>
        <w:ind w:left="502"/>
        <w:rPr>
          <w:sz w:val="28"/>
          <w:szCs w:val="28"/>
        </w:rPr>
      </w:pPr>
      <w:proofErr w:type="spellStart"/>
      <w:r w:rsidRPr="00291915">
        <w:rPr>
          <w:sz w:val="28"/>
          <w:szCs w:val="28"/>
          <w:highlight w:val="yellow"/>
          <w:lang w:val="en-US"/>
        </w:rPr>
        <w:t>Constantinesco</w:t>
      </w:r>
      <w:proofErr w:type="spellEnd"/>
      <w:r>
        <w:rPr>
          <w:sz w:val="28"/>
          <w:szCs w:val="28"/>
        </w:rPr>
        <w:t xml:space="preserve"> </w:t>
      </w:r>
      <w:r w:rsidRPr="00291915">
        <w:rPr>
          <w:sz w:val="28"/>
          <w:szCs w:val="28"/>
        </w:rPr>
        <w:t>→</w:t>
      </w:r>
      <w:r>
        <w:rPr>
          <w:sz w:val="28"/>
          <w:szCs w:val="28"/>
        </w:rPr>
        <w:t xml:space="preserve"> αναγνωρίζει την ανάπτυξη του συγκριτικού δικαίου ως αυτόνομου επιστημονικού κλάδου μόνο στο πεδίο της μακροσύγκρισης. Κατά την άποψή του η μακροσύγκριση είναι η μελέτη των θεμελιωδών και ειδικών δομών ενός νομικού συστήματος, εν αντιθέσει με την μικροσύγκριση, την οποία αντιλαμβάνεται ως λεπτομερειακή μελέτη των επιμέρους στοιχείων, κυττάρων του νομικού φαινομένου. Οι σκοποί της μικροσύγκρισης είναι κατά τον ίδιο και θεωρητικοί και πρακτικοί, ενώ της μακροσύγκρισης μόνο θεωρητικοί → προσδιορίζουν τις δομές των εννόμων τάξεων.</w:t>
      </w:r>
    </w:p>
    <w:p w:rsidR="00CC140D" w:rsidRDefault="00CC140D" w:rsidP="003F1E1C">
      <w:pPr>
        <w:pStyle w:val="a3"/>
        <w:ind w:left="502"/>
        <w:rPr>
          <w:sz w:val="28"/>
          <w:szCs w:val="28"/>
        </w:rPr>
      </w:pPr>
    </w:p>
    <w:p w:rsidR="00CC140D" w:rsidRDefault="00CC140D" w:rsidP="003F1E1C">
      <w:pPr>
        <w:pStyle w:val="a3"/>
        <w:ind w:left="502"/>
        <w:rPr>
          <w:sz w:val="28"/>
          <w:szCs w:val="28"/>
        </w:rPr>
      </w:pPr>
      <w:r>
        <w:rPr>
          <w:sz w:val="28"/>
          <w:szCs w:val="28"/>
        </w:rPr>
        <w:t>Ο συγκριτικολόγος κατά την μελέτη των διαφόρων νομικών συστημάτων δεν θα πρέπει να επικεντρώνεται μόνο στις ομοιότητες αυτών ή μόνο στις διαφορές τους</w:t>
      </w:r>
      <w:r w:rsidR="003E71FB">
        <w:rPr>
          <w:sz w:val="28"/>
          <w:szCs w:val="28"/>
        </w:rPr>
        <w:t>, γιατί καταλήγουμε είτε με τον έναν τρόπο είτε με τον άλλον σε άτοπα. Η εμμονή μόνο στις ομοιότητες καθιστά την μελέτη επιφανειακή, ενώ η εμμονή μόνο στις διαφορές ενδέχεται να καταλήξει στο άτοπο ότι δεν υπάρχει το παραμικρό κοινό σημείο και συνεπώς η σύγκριση δεν είναι εφικτή!</w:t>
      </w:r>
      <w:r w:rsidR="00793F67">
        <w:rPr>
          <w:sz w:val="28"/>
          <w:szCs w:val="28"/>
        </w:rPr>
        <w:t xml:space="preserve"> </w:t>
      </w:r>
    </w:p>
    <w:p w:rsidR="00AC6B49" w:rsidRDefault="00AC6B49" w:rsidP="003F1E1C">
      <w:pPr>
        <w:pStyle w:val="a3"/>
        <w:ind w:left="502"/>
        <w:rPr>
          <w:sz w:val="28"/>
          <w:szCs w:val="28"/>
        </w:rPr>
      </w:pPr>
    </w:p>
    <w:p w:rsidR="00AC6B49" w:rsidRDefault="00AC6B49" w:rsidP="003F1E1C">
      <w:pPr>
        <w:pStyle w:val="a3"/>
        <w:ind w:left="502"/>
        <w:rPr>
          <w:b/>
          <w:sz w:val="28"/>
          <w:szCs w:val="28"/>
          <w:u w:val="single"/>
        </w:rPr>
      </w:pPr>
      <w:r w:rsidRPr="00AC6B49">
        <w:rPr>
          <w:b/>
          <w:sz w:val="28"/>
          <w:szCs w:val="28"/>
          <w:u w:val="single"/>
        </w:rPr>
        <w:t>ΤΑΞΙΝΟΜΗΣΗ ΝΟΜΙΚΩΝ ΣΥΣΤΗΜΑΤΩΝ-ΚΡΙΤΗΡΙΑ ΤΑΞΙΝΟΜΗΣΗΣ</w:t>
      </w:r>
    </w:p>
    <w:p w:rsidR="00AC6B49" w:rsidRDefault="00AC6B49" w:rsidP="003F1E1C">
      <w:pPr>
        <w:pStyle w:val="a3"/>
        <w:ind w:left="502"/>
        <w:rPr>
          <w:sz w:val="28"/>
          <w:szCs w:val="28"/>
        </w:rPr>
      </w:pPr>
      <w:r>
        <w:rPr>
          <w:sz w:val="28"/>
          <w:szCs w:val="28"/>
        </w:rPr>
        <w:t xml:space="preserve">Η ανάγκη ταξινόμησης των διαφόρων νομικών συστημάτων προέκυψε εκ του πολύ μεγάλου αριθμού των υφιστάμενων νομικών συστημάτων ανά τον κόσμο, γεγονός που καθιστά ευλόγως αδύνατη τη συγκριτική μελέτη όλων ταυτοχρόνως. Σαν εγχείρημα ενέχει ιδιαίτερη δυσκολία και δίνει έμφαση στις </w:t>
      </w:r>
      <w:r>
        <w:rPr>
          <w:sz w:val="28"/>
          <w:szCs w:val="28"/>
        </w:rPr>
        <w:lastRenderedPageBreak/>
        <w:t>ομοιότητες κι τις αναλογικές ρυθμίσεις των συστημάτων μεταξύ τους, πολλές φορές όμως πέφτει πάνω στις ιδιαιτερότητες και τα ετερογενή στοιχεία ορισμένων συστημάτων που το καθιστούν ακόμη πιο δύσκολο.</w:t>
      </w:r>
    </w:p>
    <w:p w:rsidR="00BD4086" w:rsidRDefault="00BD4086" w:rsidP="003F1E1C">
      <w:pPr>
        <w:pStyle w:val="a3"/>
        <w:ind w:left="502"/>
        <w:rPr>
          <w:sz w:val="28"/>
          <w:szCs w:val="28"/>
        </w:rPr>
      </w:pPr>
    </w:p>
    <w:p w:rsidR="00BD4086" w:rsidRDefault="00BD4086" w:rsidP="003F1E1C">
      <w:pPr>
        <w:pStyle w:val="a3"/>
        <w:ind w:left="502"/>
        <w:rPr>
          <w:sz w:val="28"/>
          <w:szCs w:val="28"/>
        </w:rPr>
      </w:pPr>
      <w:r w:rsidRPr="00BD4086">
        <w:rPr>
          <w:sz w:val="28"/>
          <w:szCs w:val="28"/>
          <w:highlight w:val="yellow"/>
        </w:rPr>
        <w:t>Κριτήρια Ταξινόμησης</w:t>
      </w:r>
      <w:r>
        <w:rPr>
          <w:sz w:val="28"/>
          <w:szCs w:val="28"/>
        </w:rPr>
        <w:t xml:space="preserve"> </w:t>
      </w:r>
      <w:r w:rsidRPr="00BD4086">
        <w:rPr>
          <w:sz w:val="28"/>
          <w:szCs w:val="28"/>
        </w:rPr>
        <w:t>→</w:t>
      </w:r>
      <w:r>
        <w:rPr>
          <w:sz w:val="28"/>
          <w:szCs w:val="28"/>
        </w:rPr>
        <w:t xml:space="preserve"> υπενθυμίζεται ότι έχει διατυπωθεί πληθώρα κριτηρίων για την ταξινόμηση των νομικών συστημάτων. Για την ακρίβεια υπάρχουν τόσα κριτήρια όσοι και συγκριτικολόγοι. Εδώ θα αναφερθούν τα πιο συχνά απαντώμενα.</w:t>
      </w:r>
    </w:p>
    <w:p w:rsidR="00BD4086" w:rsidRDefault="00BD4086" w:rsidP="00BD4086">
      <w:pPr>
        <w:pStyle w:val="a3"/>
        <w:numPr>
          <w:ilvl w:val="0"/>
          <w:numId w:val="3"/>
        </w:numPr>
        <w:rPr>
          <w:sz w:val="28"/>
          <w:szCs w:val="28"/>
        </w:rPr>
      </w:pPr>
      <w:r>
        <w:rPr>
          <w:sz w:val="28"/>
          <w:szCs w:val="28"/>
        </w:rPr>
        <w:t>Το κριτήριο της φύσης και του ρόλου του δικαίου</w:t>
      </w:r>
    </w:p>
    <w:p w:rsidR="00BD4086" w:rsidRDefault="00BD4086" w:rsidP="00BD4086">
      <w:pPr>
        <w:pStyle w:val="a3"/>
        <w:numPr>
          <w:ilvl w:val="0"/>
          <w:numId w:val="3"/>
        </w:numPr>
        <w:rPr>
          <w:sz w:val="28"/>
          <w:szCs w:val="28"/>
        </w:rPr>
      </w:pPr>
      <w:r>
        <w:rPr>
          <w:sz w:val="28"/>
          <w:szCs w:val="28"/>
        </w:rPr>
        <w:t>Το κριτήριο της προέλευσης, του «γενετικού θεμελίου» των νομικών συστημάτων</w:t>
      </w:r>
    </w:p>
    <w:p w:rsidR="00BD4086" w:rsidRDefault="00BD4086" w:rsidP="00BD4086">
      <w:pPr>
        <w:pStyle w:val="a3"/>
        <w:numPr>
          <w:ilvl w:val="0"/>
          <w:numId w:val="3"/>
        </w:numPr>
        <w:rPr>
          <w:sz w:val="28"/>
          <w:szCs w:val="28"/>
        </w:rPr>
      </w:pPr>
      <w:r>
        <w:rPr>
          <w:sz w:val="28"/>
          <w:szCs w:val="28"/>
        </w:rPr>
        <w:t>Το κριτήριο των πηγών του δικαίου</w:t>
      </w:r>
    </w:p>
    <w:p w:rsidR="00BD4086" w:rsidRDefault="00BD4086" w:rsidP="00BD4086">
      <w:pPr>
        <w:pStyle w:val="a3"/>
        <w:numPr>
          <w:ilvl w:val="0"/>
          <w:numId w:val="3"/>
        </w:numPr>
        <w:rPr>
          <w:sz w:val="28"/>
          <w:szCs w:val="28"/>
        </w:rPr>
      </w:pPr>
      <w:r>
        <w:rPr>
          <w:sz w:val="28"/>
          <w:szCs w:val="28"/>
        </w:rPr>
        <w:t>Το κριτήριο της αυτονομίας της νομικής θεωρίας</w:t>
      </w:r>
    </w:p>
    <w:p w:rsidR="00BD4086" w:rsidRDefault="008B374B" w:rsidP="00BD4086">
      <w:pPr>
        <w:pStyle w:val="a3"/>
        <w:numPr>
          <w:ilvl w:val="0"/>
          <w:numId w:val="3"/>
        </w:numPr>
        <w:rPr>
          <w:sz w:val="28"/>
          <w:szCs w:val="28"/>
        </w:rPr>
      </w:pPr>
      <w:r>
        <w:rPr>
          <w:sz w:val="28"/>
          <w:szCs w:val="28"/>
        </w:rPr>
        <w:t>Το κριτήριο της νομικής τεχνικής</w:t>
      </w:r>
    </w:p>
    <w:p w:rsidR="008B374B" w:rsidRDefault="008B374B" w:rsidP="00BD4086">
      <w:pPr>
        <w:pStyle w:val="a3"/>
        <w:numPr>
          <w:ilvl w:val="0"/>
          <w:numId w:val="3"/>
        </w:numPr>
        <w:rPr>
          <w:sz w:val="28"/>
          <w:szCs w:val="28"/>
        </w:rPr>
      </w:pPr>
      <w:r>
        <w:rPr>
          <w:sz w:val="28"/>
          <w:szCs w:val="28"/>
        </w:rPr>
        <w:t>Το κριτήριο των δομών του δικαίου</w:t>
      </w:r>
    </w:p>
    <w:p w:rsidR="008B374B" w:rsidRDefault="008B374B" w:rsidP="00BD4086">
      <w:pPr>
        <w:pStyle w:val="a3"/>
        <w:numPr>
          <w:ilvl w:val="0"/>
          <w:numId w:val="3"/>
        </w:numPr>
        <w:rPr>
          <w:sz w:val="28"/>
          <w:szCs w:val="28"/>
        </w:rPr>
      </w:pPr>
      <w:r>
        <w:rPr>
          <w:sz w:val="28"/>
          <w:szCs w:val="28"/>
        </w:rPr>
        <w:t>Το κριτήριο της νομικής ορολογίας, των εννοιών ή των θεσμών</w:t>
      </w:r>
    </w:p>
    <w:p w:rsidR="008B374B" w:rsidRDefault="008B374B" w:rsidP="00BD4086">
      <w:pPr>
        <w:pStyle w:val="a3"/>
        <w:numPr>
          <w:ilvl w:val="0"/>
          <w:numId w:val="3"/>
        </w:numPr>
        <w:rPr>
          <w:sz w:val="28"/>
          <w:szCs w:val="28"/>
        </w:rPr>
      </w:pPr>
      <w:r>
        <w:rPr>
          <w:sz w:val="28"/>
          <w:szCs w:val="28"/>
        </w:rPr>
        <w:t>Το κριτήριο της επαγγελματικοποίησης του δικαίου</w:t>
      </w:r>
    </w:p>
    <w:p w:rsidR="008B374B" w:rsidRDefault="008B374B" w:rsidP="00BD4086">
      <w:pPr>
        <w:pStyle w:val="a3"/>
        <w:numPr>
          <w:ilvl w:val="0"/>
          <w:numId w:val="3"/>
        </w:numPr>
        <w:rPr>
          <w:sz w:val="28"/>
          <w:szCs w:val="28"/>
        </w:rPr>
      </w:pPr>
      <w:r>
        <w:rPr>
          <w:sz w:val="28"/>
          <w:szCs w:val="28"/>
        </w:rPr>
        <w:t>Το κριτήριο της επιρροής της κοινωνίας</w:t>
      </w:r>
    </w:p>
    <w:p w:rsidR="008B374B" w:rsidRDefault="008B374B" w:rsidP="00BD4086">
      <w:pPr>
        <w:pStyle w:val="a3"/>
        <w:numPr>
          <w:ilvl w:val="0"/>
          <w:numId w:val="3"/>
        </w:numPr>
        <w:rPr>
          <w:sz w:val="28"/>
          <w:szCs w:val="28"/>
        </w:rPr>
      </w:pPr>
      <w:r>
        <w:rPr>
          <w:sz w:val="28"/>
          <w:szCs w:val="28"/>
        </w:rPr>
        <w:t>Το κριτήριο της ιδεολογίας</w:t>
      </w:r>
    </w:p>
    <w:p w:rsidR="008B374B" w:rsidRDefault="008B374B" w:rsidP="00BD4086">
      <w:pPr>
        <w:pStyle w:val="a3"/>
        <w:numPr>
          <w:ilvl w:val="0"/>
          <w:numId w:val="3"/>
        </w:numPr>
        <w:rPr>
          <w:sz w:val="28"/>
          <w:szCs w:val="28"/>
        </w:rPr>
      </w:pPr>
      <w:r>
        <w:rPr>
          <w:sz w:val="28"/>
          <w:szCs w:val="28"/>
        </w:rPr>
        <w:t>Το κριτήριο της δυναμικής κατάστασης του συστήματος</w:t>
      </w:r>
    </w:p>
    <w:p w:rsidR="008B374B" w:rsidRDefault="008B374B" w:rsidP="00BD4086">
      <w:pPr>
        <w:pStyle w:val="a3"/>
        <w:numPr>
          <w:ilvl w:val="0"/>
          <w:numId w:val="3"/>
        </w:numPr>
        <w:rPr>
          <w:sz w:val="28"/>
          <w:szCs w:val="28"/>
        </w:rPr>
      </w:pPr>
      <w:r>
        <w:rPr>
          <w:sz w:val="28"/>
          <w:szCs w:val="28"/>
        </w:rPr>
        <w:t>Το κριτήριο του αριθμού των υποκειμένων δικαίου</w:t>
      </w:r>
    </w:p>
    <w:p w:rsidR="008B374B" w:rsidRDefault="008B374B" w:rsidP="00BD4086">
      <w:pPr>
        <w:pStyle w:val="a3"/>
        <w:numPr>
          <w:ilvl w:val="0"/>
          <w:numId w:val="3"/>
        </w:numPr>
        <w:rPr>
          <w:sz w:val="28"/>
          <w:szCs w:val="28"/>
        </w:rPr>
      </w:pPr>
      <w:r>
        <w:rPr>
          <w:sz w:val="28"/>
          <w:szCs w:val="28"/>
        </w:rPr>
        <w:t>Το κριτήριο του πολιτισμού</w:t>
      </w:r>
    </w:p>
    <w:p w:rsidR="008B374B" w:rsidRPr="00AC6B49" w:rsidRDefault="008B374B" w:rsidP="00BD4086">
      <w:pPr>
        <w:pStyle w:val="a3"/>
        <w:numPr>
          <w:ilvl w:val="0"/>
          <w:numId w:val="3"/>
        </w:numPr>
        <w:rPr>
          <w:sz w:val="28"/>
          <w:szCs w:val="28"/>
        </w:rPr>
      </w:pPr>
      <w:r>
        <w:rPr>
          <w:sz w:val="28"/>
          <w:szCs w:val="28"/>
        </w:rPr>
        <w:t>Το κριτήριο της φυλής</w:t>
      </w:r>
    </w:p>
    <w:p w:rsidR="004E2EF2" w:rsidRPr="00AE6C13" w:rsidRDefault="008B374B" w:rsidP="001E302E">
      <w:pPr>
        <w:rPr>
          <w:b/>
          <w:sz w:val="28"/>
          <w:szCs w:val="28"/>
          <w:u w:val="single"/>
        </w:rPr>
      </w:pPr>
      <w:r w:rsidRPr="00AE6C13">
        <w:rPr>
          <w:b/>
          <w:sz w:val="28"/>
          <w:szCs w:val="28"/>
          <w:u w:val="single"/>
        </w:rPr>
        <w:t xml:space="preserve">Για περαιτέρω ανάλυση βλέπε εγχειρίδιο σελ. 42 </w:t>
      </w:r>
      <w:proofErr w:type="spellStart"/>
      <w:r w:rsidRPr="00AE6C13">
        <w:rPr>
          <w:b/>
          <w:sz w:val="28"/>
          <w:szCs w:val="28"/>
          <w:u w:val="single"/>
        </w:rPr>
        <w:t>επ</w:t>
      </w:r>
      <w:proofErr w:type="spellEnd"/>
      <w:r w:rsidRPr="00AE6C13">
        <w:rPr>
          <w:b/>
          <w:sz w:val="28"/>
          <w:szCs w:val="28"/>
          <w:u w:val="single"/>
        </w:rPr>
        <w:t>!</w:t>
      </w:r>
      <w:bookmarkStart w:id="1" w:name="_GoBack"/>
      <w:bookmarkEnd w:id="1"/>
    </w:p>
    <w:p w:rsidR="00EE2364" w:rsidRPr="00EE2364" w:rsidRDefault="00EE2364" w:rsidP="00EE2364">
      <w:pPr>
        <w:jc w:val="center"/>
        <w:rPr>
          <w:b/>
          <w:sz w:val="28"/>
          <w:szCs w:val="28"/>
        </w:rPr>
      </w:pPr>
    </w:p>
    <w:sectPr w:rsidR="00EE2364" w:rsidRPr="00EE2364">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C46" w:rsidRDefault="00F00C46" w:rsidP="002F1A90">
      <w:pPr>
        <w:spacing w:after="0" w:line="240" w:lineRule="auto"/>
      </w:pPr>
      <w:r>
        <w:separator/>
      </w:r>
    </w:p>
  </w:endnote>
  <w:endnote w:type="continuationSeparator" w:id="0">
    <w:p w:rsidR="00F00C46" w:rsidRDefault="00F00C46" w:rsidP="002F1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880017"/>
      <w:docPartObj>
        <w:docPartGallery w:val="Page Numbers (Bottom of Page)"/>
        <w:docPartUnique/>
      </w:docPartObj>
    </w:sdtPr>
    <w:sdtContent>
      <w:p w:rsidR="00BD4086" w:rsidRDefault="00BD4086">
        <w:pPr>
          <w:pStyle w:val="a5"/>
          <w:jc w:val="center"/>
        </w:pPr>
        <w:r>
          <w:fldChar w:fldCharType="begin"/>
        </w:r>
        <w:r>
          <w:instrText>PAGE   \* MERGEFORMAT</w:instrText>
        </w:r>
        <w:r>
          <w:fldChar w:fldCharType="separate"/>
        </w:r>
        <w:r w:rsidR="00AE6C13">
          <w:rPr>
            <w:noProof/>
          </w:rPr>
          <w:t>4</w:t>
        </w:r>
        <w:r>
          <w:fldChar w:fldCharType="end"/>
        </w:r>
      </w:p>
    </w:sdtContent>
  </w:sdt>
  <w:p w:rsidR="00BD4086" w:rsidRDefault="00BD408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C46" w:rsidRDefault="00F00C46" w:rsidP="002F1A90">
      <w:pPr>
        <w:spacing w:after="0" w:line="240" w:lineRule="auto"/>
      </w:pPr>
      <w:r>
        <w:separator/>
      </w:r>
    </w:p>
  </w:footnote>
  <w:footnote w:type="continuationSeparator" w:id="0">
    <w:p w:rsidR="00F00C46" w:rsidRDefault="00F00C46" w:rsidP="002F1A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67E53"/>
    <w:multiLevelType w:val="hybridMultilevel"/>
    <w:tmpl w:val="34389340"/>
    <w:lvl w:ilvl="0" w:tplc="04080011">
      <w:start w:val="1"/>
      <w:numFmt w:val="decimal"/>
      <w:lvlText w:val="%1)"/>
      <w:lvlJc w:val="left"/>
      <w:pPr>
        <w:ind w:left="1222" w:hanging="360"/>
      </w:pPr>
    </w:lvl>
    <w:lvl w:ilvl="1" w:tplc="04080019" w:tentative="1">
      <w:start w:val="1"/>
      <w:numFmt w:val="lowerLetter"/>
      <w:lvlText w:val="%2."/>
      <w:lvlJc w:val="left"/>
      <w:pPr>
        <w:ind w:left="1942" w:hanging="360"/>
      </w:pPr>
    </w:lvl>
    <w:lvl w:ilvl="2" w:tplc="0408001B" w:tentative="1">
      <w:start w:val="1"/>
      <w:numFmt w:val="lowerRoman"/>
      <w:lvlText w:val="%3."/>
      <w:lvlJc w:val="right"/>
      <w:pPr>
        <w:ind w:left="2662" w:hanging="180"/>
      </w:pPr>
    </w:lvl>
    <w:lvl w:ilvl="3" w:tplc="0408000F" w:tentative="1">
      <w:start w:val="1"/>
      <w:numFmt w:val="decimal"/>
      <w:lvlText w:val="%4."/>
      <w:lvlJc w:val="left"/>
      <w:pPr>
        <w:ind w:left="3382" w:hanging="360"/>
      </w:pPr>
    </w:lvl>
    <w:lvl w:ilvl="4" w:tplc="04080019" w:tentative="1">
      <w:start w:val="1"/>
      <w:numFmt w:val="lowerLetter"/>
      <w:lvlText w:val="%5."/>
      <w:lvlJc w:val="left"/>
      <w:pPr>
        <w:ind w:left="4102" w:hanging="360"/>
      </w:pPr>
    </w:lvl>
    <w:lvl w:ilvl="5" w:tplc="0408001B" w:tentative="1">
      <w:start w:val="1"/>
      <w:numFmt w:val="lowerRoman"/>
      <w:lvlText w:val="%6."/>
      <w:lvlJc w:val="right"/>
      <w:pPr>
        <w:ind w:left="4822" w:hanging="180"/>
      </w:pPr>
    </w:lvl>
    <w:lvl w:ilvl="6" w:tplc="0408000F" w:tentative="1">
      <w:start w:val="1"/>
      <w:numFmt w:val="decimal"/>
      <w:lvlText w:val="%7."/>
      <w:lvlJc w:val="left"/>
      <w:pPr>
        <w:ind w:left="5542" w:hanging="360"/>
      </w:pPr>
    </w:lvl>
    <w:lvl w:ilvl="7" w:tplc="04080019" w:tentative="1">
      <w:start w:val="1"/>
      <w:numFmt w:val="lowerLetter"/>
      <w:lvlText w:val="%8."/>
      <w:lvlJc w:val="left"/>
      <w:pPr>
        <w:ind w:left="6262" w:hanging="360"/>
      </w:pPr>
    </w:lvl>
    <w:lvl w:ilvl="8" w:tplc="0408001B" w:tentative="1">
      <w:start w:val="1"/>
      <w:numFmt w:val="lowerRoman"/>
      <w:lvlText w:val="%9."/>
      <w:lvlJc w:val="right"/>
      <w:pPr>
        <w:ind w:left="6982" w:hanging="180"/>
      </w:pPr>
    </w:lvl>
  </w:abstractNum>
  <w:abstractNum w:abstractNumId="1" w15:restartNumberingAfterBreak="0">
    <w:nsid w:val="53180623"/>
    <w:multiLevelType w:val="hybridMultilevel"/>
    <w:tmpl w:val="21703242"/>
    <w:lvl w:ilvl="0" w:tplc="0408000D">
      <w:start w:val="1"/>
      <w:numFmt w:val="bullet"/>
      <w:lvlText w:val=""/>
      <w:lvlJc w:val="left"/>
      <w:pPr>
        <w:ind w:left="1222" w:hanging="360"/>
      </w:pPr>
      <w:rPr>
        <w:rFonts w:ascii="Wingdings" w:hAnsi="Wingdings" w:hint="default"/>
      </w:rPr>
    </w:lvl>
    <w:lvl w:ilvl="1" w:tplc="04080003" w:tentative="1">
      <w:start w:val="1"/>
      <w:numFmt w:val="bullet"/>
      <w:lvlText w:val="o"/>
      <w:lvlJc w:val="left"/>
      <w:pPr>
        <w:ind w:left="1942" w:hanging="360"/>
      </w:pPr>
      <w:rPr>
        <w:rFonts w:ascii="Courier New" w:hAnsi="Courier New" w:cs="Courier New" w:hint="default"/>
      </w:rPr>
    </w:lvl>
    <w:lvl w:ilvl="2" w:tplc="04080005" w:tentative="1">
      <w:start w:val="1"/>
      <w:numFmt w:val="bullet"/>
      <w:lvlText w:val=""/>
      <w:lvlJc w:val="left"/>
      <w:pPr>
        <w:ind w:left="2662" w:hanging="360"/>
      </w:pPr>
      <w:rPr>
        <w:rFonts w:ascii="Wingdings" w:hAnsi="Wingdings" w:hint="default"/>
      </w:rPr>
    </w:lvl>
    <w:lvl w:ilvl="3" w:tplc="04080001" w:tentative="1">
      <w:start w:val="1"/>
      <w:numFmt w:val="bullet"/>
      <w:lvlText w:val=""/>
      <w:lvlJc w:val="left"/>
      <w:pPr>
        <w:ind w:left="3382" w:hanging="360"/>
      </w:pPr>
      <w:rPr>
        <w:rFonts w:ascii="Symbol" w:hAnsi="Symbol" w:hint="default"/>
      </w:rPr>
    </w:lvl>
    <w:lvl w:ilvl="4" w:tplc="04080003" w:tentative="1">
      <w:start w:val="1"/>
      <w:numFmt w:val="bullet"/>
      <w:lvlText w:val="o"/>
      <w:lvlJc w:val="left"/>
      <w:pPr>
        <w:ind w:left="4102" w:hanging="360"/>
      </w:pPr>
      <w:rPr>
        <w:rFonts w:ascii="Courier New" w:hAnsi="Courier New" w:cs="Courier New" w:hint="default"/>
      </w:rPr>
    </w:lvl>
    <w:lvl w:ilvl="5" w:tplc="04080005" w:tentative="1">
      <w:start w:val="1"/>
      <w:numFmt w:val="bullet"/>
      <w:lvlText w:val=""/>
      <w:lvlJc w:val="left"/>
      <w:pPr>
        <w:ind w:left="4822" w:hanging="360"/>
      </w:pPr>
      <w:rPr>
        <w:rFonts w:ascii="Wingdings" w:hAnsi="Wingdings" w:hint="default"/>
      </w:rPr>
    </w:lvl>
    <w:lvl w:ilvl="6" w:tplc="04080001" w:tentative="1">
      <w:start w:val="1"/>
      <w:numFmt w:val="bullet"/>
      <w:lvlText w:val=""/>
      <w:lvlJc w:val="left"/>
      <w:pPr>
        <w:ind w:left="5542" w:hanging="360"/>
      </w:pPr>
      <w:rPr>
        <w:rFonts w:ascii="Symbol" w:hAnsi="Symbol" w:hint="default"/>
      </w:rPr>
    </w:lvl>
    <w:lvl w:ilvl="7" w:tplc="04080003" w:tentative="1">
      <w:start w:val="1"/>
      <w:numFmt w:val="bullet"/>
      <w:lvlText w:val="o"/>
      <w:lvlJc w:val="left"/>
      <w:pPr>
        <w:ind w:left="6262" w:hanging="360"/>
      </w:pPr>
      <w:rPr>
        <w:rFonts w:ascii="Courier New" w:hAnsi="Courier New" w:cs="Courier New" w:hint="default"/>
      </w:rPr>
    </w:lvl>
    <w:lvl w:ilvl="8" w:tplc="04080005" w:tentative="1">
      <w:start w:val="1"/>
      <w:numFmt w:val="bullet"/>
      <w:lvlText w:val=""/>
      <w:lvlJc w:val="left"/>
      <w:pPr>
        <w:ind w:left="6982" w:hanging="360"/>
      </w:pPr>
      <w:rPr>
        <w:rFonts w:ascii="Wingdings" w:hAnsi="Wingdings" w:hint="default"/>
      </w:rPr>
    </w:lvl>
  </w:abstractNum>
  <w:abstractNum w:abstractNumId="2" w15:restartNumberingAfterBreak="0">
    <w:nsid w:val="6919311C"/>
    <w:multiLevelType w:val="hybridMultilevel"/>
    <w:tmpl w:val="6F0A635A"/>
    <w:lvl w:ilvl="0" w:tplc="0B8E9714">
      <w:start w:val="1"/>
      <w:numFmt w:val="decimal"/>
      <w:lvlText w:val="%1)"/>
      <w:lvlJc w:val="left"/>
      <w:pPr>
        <w:ind w:left="502" w:hanging="360"/>
      </w:pPr>
      <w:rPr>
        <w:b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C1F"/>
    <w:rsid w:val="00032C1F"/>
    <w:rsid w:val="00057354"/>
    <w:rsid w:val="001644EA"/>
    <w:rsid w:val="001E1D1F"/>
    <w:rsid w:val="001E302E"/>
    <w:rsid w:val="00287C9F"/>
    <w:rsid w:val="00291915"/>
    <w:rsid w:val="002F1A90"/>
    <w:rsid w:val="003973F4"/>
    <w:rsid w:val="003E71FB"/>
    <w:rsid w:val="003F1E1C"/>
    <w:rsid w:val="00482BCC"/>
    <w:rsid w:val="004E2EF2"/>
    <w:rsid w:val="005218F9"/>
    <w:rsid w:val="00590CAA"/>
    <w:rsid w:val="005A15E7"/>
    <w:rsid w:val="00793F67"/>
    <w:rsid w:val="008B374B"/>
    <w:rsid w:val="00A04937"/>
    <w:rsid w:val="00AC6B49"/>
    <w:rsid w:val="00AE6C13"/>
    <w:rsid w:val="00BD4086"/>
    <w:rsid w:val="00CC140D"/>
    <w:rsid w:val="00D42401"/>
    <w:rsid w:val="00DD5FC8"/>
    <w:rsid w:val="00E24F38"/>
    <w:rsid w:val="00E6148D"/>
    <w:rsid w:val="00E93A68"/>
    <w:rsid w:val="00EE2364"/>
    <w:rsid w:val="00F00C46"/>
    <w:rsid w:val="00FA6B87"/>
    <w:rsid w:val="00FF29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EDD7"/>
  <w15:chartTrackingRefBased/>
  <w15:docId w15:val="{7BD17DA0-B011-4EBE-846C-5BF67957A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2EF2"/>
    <w:pPr>
      <w:ind w:left="720"/>
      <w:contextualSpacing/>
    </w:pPr>
  </w:style>
  <w:style w:type="paragraph" w:styleId="a4">
    <w:name w:val="header"/>
    <w:basedOn w:val="a"/>
    <w:link w:val="Char"/>
    <w:uiPriority w:val="99"/>
    <w:unhideWhenUsed/>
    <w:rsid w:val="002F1A90"/>
    <w:pPr>
      <w:tabs>
        <w:tab w:val="center" w:pos="4153"/>
        <w:tab w:val="right" w:pos="8306"/>
      </w:tabs>
      <w:spacing w:after="0" w:line="240" w:lineRule="auto"/>
    </w:pPr>
  </w:style>
  <w:style w:type="character" w:customStyle="1" w:styleId="Char">
    <w:name w:val="Κεφαλίδα Char"/>
    <w:basedOn w:val="a0"/>
    <w:link w:val="a4"/>
    <w:uiPriority w:val="99"/>
    <w:rsid w:val="002F1A90"/>
  </w:style>
  <w:style w:type="paragraph" w:styleId="a5">
    <w:name w:val="footer"/>
    <w:basedOn w:val="a"/>
    <w:link w:val="Char0"/>
    <w:uiPriority w:val="99"/>
    <w:unhideWhenUsed/>
    <w:rsid w:val="002F1A90"/>
    <w:pPr>
      <w:tabs>
        <w:tab w:val="center" w:pos="4153"/>
        <w:tab w:val="right" w:pos="8306"/>
      </w:tabs>
      <w:spacing w:after="0" w:line="240" w:lineRule="auto"/>
    </w:pPr>
  </w:style>
  <w:style w:type="character" w:customStyle="1" w:styleId="Char0">
    <w:name w:val="Υποσέλιδο Char"/>
    <w:basedOn w:val="a0"/>
    <w:link w:val="a5"/>
    <w:uiPriority w:val="99"/>
    <w:rsid w:val="002F1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707</TotalTime>
  <Pages>5</Pages>
  <Words>1348</Words>
  <Characters>7283</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Bokas</dc:creator>
  <cp:keywords/>
  <dc:description/>
  <cp:lastModifiedBy>John Bokas</cp:lastModifiedBy>
  <cp:revision>20</cp:revision>
  <dcterms:created xsi:type="dcterms:W3CDTF">2017-07-03T08:53:00Z</dcterms:created>
  <dcterms:modified xsi:type="dcterms:W3CDTF">2017-07-03T20:40:00Z</dcterms:modified>
</cp:coreProperties>
</file>