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8A1" w:rsidRDefault="00CC04B7" w:rsidP="000026D0">
      <w:pPr>
        <w:pStyle w:val="2"/>
      </w:pPr>
      <w:r>
        <w:t>Ποινική Δικονομία</w:t>
      </w:r>
      <w:r>
        <w:br/>
        <w:t xml:space="preserve">Καθηγήτρια : κ. </w:t>
      </w:r>
      <w:proofErr w:type="spellStart"/>
      <w:r>
        <w:t>Λιούρδη</w:t>
      </w:r>
      <w:proofErr w:type="spellEnd"/>
      <w:r>
        <w:br/>
        <w:t>Ημερομηνία : 7/2/2014</w:t>
      </w:r>
    </w:p>
    <w:p w:rsidR="00CC04B7" w:rsidRDefault="00CC04B7">
      <w:r w:rsidRPr="000026D0">
        <w:rPr>
          <w:rStyle w:val="a3"/>
        </w:rPr>
        <w:t>Σημαντικότερη</w:t>
      </w:r>
      <w:r>
        <w:t xml:space="preserve"> από τις αρμοδιότητες είναι η </w:t>
      </w:r>
      <w:r w:rsidRPr="000026D0">
        <w:rPr>
          <w:rStyle w:val="a3"/>
        </w:rPr>
        <w:t>καθ’ ύλη αρμοδιότητα</w:t>
      </w:r>
      <w:r>
        <w:t>, μέχρι και τον αναιρετικό έλεγχο. Αν υπάρχει παραβίαση λόγω συνάφειας, αναιρετικός έλεγχος είναι υπέρβαση εξουσίας, οι λόγοι της αναίρεσης αναφέρονται περιοριστικά στον κώδικα ποινικής.</w:t>
      </w:r>
    </w:p>
    <w:p w:rsidR="00CC04B7" w:rsidRDefault="00CC04B7">
      <w:r w:rsidRPr="000026D0">
        <w:rPr>
          <w:rStyle w:val="a4"/>
        </w:rPr>
        <w:t>Ποινική Δίκη</w:t>
      </w:r>
      <w:r>
        <w:t xml:space="preserve"> (από την άσκηση ποινικής δίωξης μέχρι την αμετάκλητη απόφαση). Πώς ξεκινάει; Αν είναι </w:t>
      </w:r>
      <w:r w:rsidRPr="000026D0">
        <w:rPr>
          <w:rStyle w:val="a5"/>
        </w:rPr>
        <w:t>καταγγελία</w:t>
      </w:r>
      <w:r>
        <w:t xml:space="preserve"> για κακούργημα που δεν είναι αυτόφωρο, (γιατί στο αυτόφωρο κακούργημα ή σε βαρύ πλημμέλημα με κίνδυνο να χαθούν στοιχεία- όπως το τροχαίο- γίνεται αστυνομική προανάκριση), υπάρχει καταγγελία, και δεν ασκείται αμέσως ποινική δίωξη, αλλά </w:t>
      </w:r>
      <w:r w:rsidRPr="00E47B78">
        <w:rPr>
          <w:rStyle w:val="a5"/>
        </w:rPr>
        <w:t>προκαταρτική εξέταση</w:t>
      </w:r>
      <w:r>
        <w:t xml:space="preserve">, άρθρο 31 του κώδικα ποινικής, για τα δικαιώματα του εισαγγελέα. </w:t>
      </w:r>
      <w:r w:rsidR="000026D0">
        <w:t xml:space="preserve">Ο ύποπτος δεν είναι κατηγορούμενος, δεν υπάρχει απολογία αλλά παροχή διευκρινήσεων / εξηγήσεων, γιατί δεν ασκείται ποινική δίωξη ακόμα. Στην πράξη ο ύποπτος και ο κατηγορούμενος όμως έχουν τα ίδια δικαιώματα. Παλαιότερα ήταν υποχρεωτική η προκαταρτική εξέταση και στα πλημμελήματα, δικαιοδοσίας του τριμελούς. </w:t>
      </w:r>
    </w:p>
    <w:p w:rsidR="000026D0" w:rsidRDefault="000026D0">
      <w:r w:rsidRPr="00E47B78">
        <w:rPr>
          <w:rStyle w:val="a4"/>
        </w:rPr>
        <w:t>Αν ασκηθεί ποινική δίωξη</w:t>
      </w:r>
      <w:r>
        <w:t xml:space="preserve"> τότε τίθεται σε λειτουργία ο </w:t>
      </w:r>
      <w:proofErr w:type="spellStart"/>
      <w:r>
        <w:t>ποινικο</w:t>
      </w:r>
      <w:proofErr w:type="spellEnd"/>
      <w:r>
        <w:t xml:space="preserve">-δικονομικός μηχανισμός : </w:t>
      </w:r>
      <w:r w:rsidRPr="00E47B78">
        <w:rPr>
          <w:rStyle w:val="a4"/>
        </w:rPr>
        <w:t>Ανάκριση</w:t>
      </w:r>
      <w:r>
        <w:t xml:space="preserve"> : η οποία διακρίνεται σε </w:t>
      </w:r>
      <w:r w:rsidRPr="00E47B78">
        <w:rPr>
          <w:rStyle w:val="a5"/>
        </w:rPr>
        <w:t>προανάκριση</w:t>
      </w:r>
      <w:r>
        <w:t xml:space="preserve"> (που την διαπράττει ένας πταισματοδίκης) και σε </w:t>
      </w:r>
      <w:r w:rsidRPr="00E47B78">
        <w:rPr>
          <w:rStyle w:val="a5"/>
        </w:rPr>
        <w:t>κύρια</w:t>
      </w:r>
      <w:r>
        <w:t xml:space="preserve"> ή τακτική </w:t>
      </w:r>
      <w:r w:rsidRPr="00E47B78">
        <w:rPr>
          <w:rStyle w:val="a5"/>
        </w:rPr>
        <w:t>ανάκριση</w:t>
      </w:r>
      <w:r>
        <w:t xml:space="preserve"> που διεξάγεται από ένα τακτικό ανακριτή (που είναι πάντα δικαστής). Μπορούν να υπάρξουν νόμιμες ανακριτικές πράξεις από Αστυνομικούς, άρθρα 34 και 33 του κώδικα ποινικής, στο πλαίσιο της </w:t>
      </w:r>
      <w:r w:rsidRPr="00E47B78">
        <w:rPr>
          <w:rStyle w:val="a3"/>
        </w:rPr>
        <w:t>αστυνομικής προανάκρισης</w:t>
      </w:r>
      <w:r>
        <w:t xml:space="preserve"> του άρθρου 243 του κώδικα ποινικής. Στην προκαταρτική εξέταση, υπάρχει μόνο η καταγγελία, είναι ένα </w:t>
      </w:r>
      <w:proofErr w:type="spellStart"/>
      <w:r>
        <w:t>προστάδιο</w:t>
      </w:r>
      <w:proofErr w:type="spellEnd"/>
      <w:r>
        <w:t xml:space="preserve"> της ποινικής δίκης και μπορεί να μην έχουμε έγκλημα, σε αντίθεση με την αστυνομική προανάκριση, όπου δεν έχει ασκηθεί ακόμη ποινική δίωξη, αλλά σίγουρα υπάρχει μια εγκληματική πράξη. </w:t>
      </w:r>
    </w:p>
    <w:p w:rsidR="000026D0" w:rsidRDefault="000026D0">
      <w:r>
        <w:t xml:space="preserve">Άρθρα 409 επόμενα για την </w:t>
      </w:r>
      <w:r w:rsidRPr="00E47B78">
        <w:rPr>
          <w:rStyle w:val="a3"/>
        </w:rPr>
        <w:t>αυτόφωρη διαδικασία για πταίσματα</w:t>
      </w:r>
      <w:r>
        <w:t xml:space="preserve"> και άρθρα 417 επόμενα για την αυτόφωρη διαδικασία για τα </w:t>
      </w:r>
      <w:r w:rsidRPr="00E47B78">
        <w:rPr>
          <w:rStyle w:val="a3"/>
        </w:rPr>
        <w:t>πλημμελήματα</w:t>
      </w:r>
      <w:r>
        <w:t xml:space="preserve">. Αυτές οι διαδικασίες είναι </w:t>
      </w:r>
      <w:r w:rsidRPr="00E47B78">
        <w:rPr>
          <w:rStyle w:val="a3"/>
        </w:rPr>
        <w:t>ειδικές</w:t>
      </w:r>
      <w:r>
        <w:t xml:space="preserve">, πιο γρήγορες, αφού απαλείφεται η προδικασία. Στο αυτόφωρο κακούργημα δεν θα κινηθεί αυτόφωρη διαδικασία εκδίκασης. </w:t>
      </w:r>
    </w:p>
    <w:p w:rsidR="000026D0" w:rsidRDefault="000026D0">
      <w:r w:rsidRPr="00E47B78">
        <w:rPr>
          <w:rStyle w:val="a4"/>
        </w:rPr>
        <w:t>Απόδειξη</w:t>
      </w:r>
      <w:r>
        <w:t>, άρθρα 239 επόμενα του κώδικα ποινικής.</w:t>
      </w:r>
    </w:p>
    <w:p w:rsidR="000026D0" w:rsidRDefault="000026D0">
      <w:r>
        <w:t xml:space="preserve">Άρθρο 177 του κώδικα ποινικής : </w:t>
      </w:r>
      <w:r w:rsidRPr="00E47B78">
        <w:rPr>
          <w:rStyle w:val="a5"/>
        </w:rPr>
        <w:t>αρχή της ηθικής απόδειξης</w:t>
      </w:r>
      <w:r>
        <w:t xml:space="preserve"> (δικαστές ακολουθούν τη </w:t>
      </w:r>
      <w:r w:rsidRPr="00E47B78">
        <w:rPr>
          <w:rStyle w:val="a3"/>
        </w:rPr>
        <w:t>φωνή της συνείδησής</w:t>
      </w:r>
      <w:r>
        <w:t xml:space="preserve"> τους, δεν είναι υποχρεωμένοι να ακολουθήσουν του νομικούς κανόνες αποδείξεως, δηλαδή να είναι υποχρεωμένοι να λάβουν υπόψη τους συγκεκριμένα αποδεικτικά μέσα. </w:t>
      </w:r>
      <w:r w:rsidRPr="00E47B78">
        <w:rPr>
          <w:rStyle w:val="a5"/>
        </w:rPr>
        <w:t>Ελεύθερη εκτίμηση των αποδεικτικών μέσων</w:t>
      </w:r>
      <w:r>
        <w:t xml:space="preserve">, ο δικαστής δεν δεσμεύεται από κάποια από τις αποδείξεις, αλλά οδηγείται από την απροσωπόληπτη κρίση του, είναι </w:t>
      </w:r>
      <w:r w:rsidRPr="00E47B78">
        <w:rPr>
          <w:rStyle w:val="a3"/>
        </w:rPr>
        <w:t>απαθής και ψύχραιμος</w:t>
      </w:r>
      <w:r>
        <w:t xml:space="preserve">, </w:t>
      </w:r>
      <w:r w:rsidRPr="00E47B78">
        <w:rPr>
          <w:rStyle w:val="a3"/>
        </w:rPr>
        <w:t>δεν</w:t>
      </w:r>
      <w:r>
        <w:t xml:space="preserve"> βασίζεται στις </w:t>
      </w:r>
      <w:r w:rsidRPr="00E47B78">
        <w:rPr>
          <w:rStyle w:val="a3"/>
        </w:rPr>
        <w:t>προσωπικές του πεποιθήσεις</w:t>
      </w:r>
      <w:r>
        <w:t xml:space="preserve">. </w:t>
      </w:r>
    </w:p>
    <w:p w:rsidR="000026D0" w:rsidRPr="00CC04B7" w:rsidRDefault="000026D0">
      <w:r>
        <w:t xml:space="preserve">Άρθρο 139 του κώδικα ποινικής : </w:t>
      </w:r>
      <w:r w:rsidRPr="00E47B78">
        <w:rPr>
          <w:rStyle w:val="a5"/>
        </w:rPr>
        <w:t>Αιτιολογίες ειδικές και εμπεριστατωμένες</w:t>
      </w:r>
      <w:r>
        <w:t xml:space="preserve">, σύστημα της ειδικής απόδειξης, για παράδειγμα : πραγματογνώμονες : αν ο δικαστής απορρίψει την έκθεσή τους πρέπει να αιτιολογήσει επαρκώς. </w:t>
      </w:r>
      <w:r>
        <w:br/>
        <w:t xml:space="preserve">Το άρθρο 177 περιέχει και μια ειδικότερη αρχή (μόνο στο κομμάτι της δίκης στο </w:t>
      </w:r>
      <w:r>
        <w:lastRenderedPageBreak/>
        <w:t xml:space="preserve">ακροατήριο, όπου ισχύουν οι </w:t>
      </w:r>
      <w:r w:rsidRPr="00E47B78">
        <w:rPr>
          <w:rStyle w:val="a3"/>
        </w:rPr>
        <w:t xml:space="preserve">γενικότερες αρχές της </w:t>
      </w:r>
      <w:proofErr w:type="spellStart"/>
      <w:r w:rsidRPr="00E47B78">
        <w:rPr>
          <w:rStyle w:val="a3"/>
        </w:rPr>
        <w:t>προφορικότητας</w:t>
      </w:r>
      <w:proofErr w:type="spellEnd"/>
      <w:r w:rsidRPr="00E47B78">
        <w:rPr>
          <w:rStyle w:val="a3"/>
        </w:rPr>
        <w:t xml:space="preserve"> και της δημοσιότητας</w:t>
      </w:r>
      <w:r>
        <w:t xml:space="preserve">), η </w:t>
      </w:r>
      <w:r w:rsidRPr="00E47B78">
        <w:rPr>
          <w:rStyle w:val="a5"/>
        </w:rPr>
        <w:t>Αμεσότητα</w:t>
      </w:r>
      <w:r>
        <w:t xml:space="preserve">, δηλαδή η αρχή της άμεσης εντύπωσης του κρίνοντα. Στη δεύτερη παράγραφο του 177 τονίζει ότι τα </w:t>
      </w:r>
      <w:r w:rsidRPr="00E47B78">
        <w:rPr>
          <w:rStyle w:val="a3"/>
        </w:rPr>
        <w:t>παράνομα αποδεικτικά</w:t>
      </w:r>
      <w:r>
        <w:t xml:space="preserve"> μέσα δεν θα λαμβάνονται υπόψη στη δίκη! </w:t>
      </w:r>
    </w:p>
    <w:sectPr w:rsidR="000026D0" w:rsidRPr="00CC04B7" w:rsidSect="00F528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04B7"/>
    <w:rsid w:val="000026D0"/>
    <w:rsid w:val="0061615F"/>
    <w:rsid w:val="00CC04B7"/>
    <w:rsid w:val="00DA4782"/>
    <w:rsid w:val="00E47B78"/>
    <w:rsid w:val="00F5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82"/>
  </w:style>
  <w:style w:type="paragraph" w:styleId="2">
    <w:name w:val="heading 2"/>
    <w:basedOn w:val="a"/>
    <w:next w:val="a"/>
    <w:link w:val="2Char"/>
    <w:uiPriority w:val="9"/>
    <w:unhideWhenUsed/>
    <w:qFormat/>
    <w:rsid w:val="000026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0026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uiPriority w:val="20"/>
    <w:qFormat/>
    <w:rsid w:val="000026D0"/>
    <w:rPr>
      <w:i/>
      <w:iCs/>
    </w:rPr>
  </w:style>
  <w:style w:type="character" w:styleId="a4">
    <w:name w:val="Intense Emphasis"/>
    <w:basedOn w:val="a0"/>
    <w:uiPriority w:val="21"/>
    <w:qFormat/>
    <w:rsid w:val="000026D0"/>
    <w:rPr>
      <w:b/>
      <w:bCs/>
      <w:i/>
      <w:iCs/>
      <w:color w:val="4F81BD" w:themeColor="accent1"/>
    </w:rPr>
  </w:style>
  <w:style w:type="character" w:styleId="a5">
    <w:name w:val="Strong"/>
    <w:basedOn w:val="a0"/>
    <w:uiPriority w:val="22"/>
    <w:qFormat/>
    <w:rsid w:val="000026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489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</dc:creator>
  <cp:lastModifiedBy>Ελένη</cp:lastModifiedBy>
  <cp:revision>1</cp:revision>
  <dcterms:created xsi:type="dcterms:W3CDTF">2014-02-09T10:58:00Z</dcterms:created>
  <dcterms:modified xsi:type="dcterms:W3CDTF">2014-02-09T11:28:00Z</dcterms:modified>
</cp:coreProperties>
</file>