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317" w:rsidRDefault="00242317" w:rsidP="00A1004A">
      <w:pPr>
        <w:pStyle w:val="2"/>
      </w:pPr>
      <w:r>
        <w:t>Ποινική Δικονομία</w:t>
      </w:r>
      <w:r w:rsidR="00A1004A">
        <w:br/>
      </w:r>
      <w:r>
        <w:t xml:space="preserve">Καθηγήτρια: κ. </w:t>
      </w:r>
      <w:proofErr w:type="spellStart"/>
      <w:r>
        <w:t>Λιούρδη</w:t>
      </w:r>
      <w:proofErr w:type="spellEnd"/>
      <w:r w:rsidR="00A1004A">
        <w:br/>
      </w:r>
      <w:r>
        <w:t>Ημερομηνία : 4/2/2014</w:t>
      </w:r>
    </w:p>
    <w:p w:rsidR="00E822EC" w:rsidRDefault="00E822EC">
      <w:r w:rsidRPr="00A1004A">
        <w:rPr>
          <w:rStyle w:val="1Char"/>
        </w:rPr>
        <w:t>Αρμοδιότητα κατά τόπο</w:t>
      </w:r>
      <w:r>
        <w:br/>
        <w:t xml:space="preserve">Δύο περιπτώσεις που υπάρχει αποκλειστική κατά τόπο αρμοδιότητα : </w:t>
      </w:r>
    </w:p>
    <w:p w:rsidR="00E822EC" w:rsidRDefault="00E822EC" w:rsidP="00E822EC">
      <w:pPr>
        <w:pStyle w:val="a3"/>
        <w:numPr>
          <w:ilvl w:val="0"/>
          <w:numId w:val="1"/>
        </w:numPr>
      </w:pPr>
      <w:r>
        <w:t xml:space="preserve">ο τόπος τέλεσης του εγκλήματος για τα εγκλήματα κατά τη </w:t>
      </w:r>
      <w:r w:rsidRPr="00A1004A">
        <w:rPr>
          <w:rStyle w:val="a4"/>
        </w:rPr>
        <w:t>διενέργεια των εκλογών</w:t>
      </w:r>
    </w:p>
    <w:p w:rsidR="00E822EC" w:rsidRDefault="00E822EC" w:rsidP="00E822EC">
      <w:pPr>
        <w:pStyle w:val="a3"/>
        <w:numPr>
          <w:ilvl w:val="0"/>
          <w:numId w:val="1"/>
        </w:numPr>
      </w:pPr>
      <w:r>
        <w:t xml:space="preserve">ο τόπος κατοικίας/ έδρας κατηγορουμένου για τα </w:t>
      </w:r>
      <w:r w:rsidRPr="00A1004A">
        <w:rPr>
          <w:rStyle w:val="a4"/>
        </w:rPr>
        <w:t>εγκλήματα φοροδιαφυγής</w:t>
      </w:r>
      <w:r>
        <w:t>.</w:t>
      </w:r>
    </w:p>
    <w:p w:rsidR="00E822EC" w:rsidRDefault="00E822EC" w:rsidP="00E822EC">
      <w:r>
        <w:t>Άρθρο 126 του Κώδικα Ποινικής («</w:t>
      </w:r>
      <w:r w:rsidRPr="00A1004A">
        <w:rPr>
          <w:rStyle w:val="a4"/>
        </w:rPr>
        <w:t>Ένσταση τοπικής αναρμοδιότητας</w:t>
      </w:r>
      <w:r>
        <w:t>», αν δεν προταθεί εγκαίρως μέχρι την έναρξη της αποδεικτικής διαδικασίας, τότε καλύπτεται).</w:t>
      </w:r>
      <w:r>
        <w:br/>
        <w:t>Άρθρο 120 του Κώδικα ποινικής («</w:t>
      </w:r>
      <w:r w:rsidRPr="00A1004A">
        <w:rPr>
          <w:rStyle w:val="a4"/>
        </w:rPr>
        <w:t>Αναρμοδιότητα</w:t>
      </w:r>
      <w:r>
        <w:t xml:space="preserve">»- εννοεί καθ’ </w:t>
      </w:r>
      <w:proofErr w:type="spellStart"/>
      <w:r>
        <w:t>ύλην</w:t>
      </w:r>
      <w:proofErr w:type="spellEnd"/>
      <w:r>
        <w:t xml:space="preserve">, αυτεπαγγέλτως το δικαστήριο εξετάζει σε κάθε στάδιο την αρμοδιότητα, μπορεί να προταθεί και από τον κατηγορούμενο. Η καθ’ ύλη είναι πιο σημαντική από την κατά τόπο αρμοδιότητα. </w:t>
      </w:r>
    </w:p>
    <w:p w:rsidR="00E822EC" w:rsidRDefault="00E822EC" w:rsidP="00E822EC">
      <w:r w:rsidRPr="00A1004A">
        <w:rPr>
          <w:rStyle w:val="a5"/>
        </w:rPr>
        <w:t>Διάδικοι</w:t>
      </w:r>
      <w:r>
        <w:t xml:space="preserve">: </w:t>
      </w:r>
    </w:p>
    <w:p w:rsidR="00E822EC" w:rsidRDefault="00E822EC" w:rsidP="00E822EC">
      <w:pPr>
        <w:pStyle w:val="a3"/>
        <w:numPr>
          <w:ilvl w:val="0"/>
          <w:numId w:val="2"/>
        </w:numPr>
      </w:pPr>
      <w:r>
        <w:t xml:space="preserve">ο </w:t>
      </w:r>
      <w:r w:rsidRPr="00A1004A">
        <w:rPr>
          <w:rStyle w:val="a4"/>
        </w:rPr>
        <w:t>πολιτικώς ενάγων</w:t>
      </w:r>
      <w:r>
        <w:t xml:space="preserve"> (ο παθών ή το θύμα, όποιος έχει συμφέρον για την καταδίκη του κατηγορουμένου, μόνο όσον αφορά την ενοχή και όχι την ποινή. Όμως αν δεν γίνει διάδικος, τότε απλώς παραμένει ένας μάρτυρας κατηγορίας- αν δεν παραστεί για παράδειγμα ως πολιτικώς ενάγων, τότε μόνο ο Εισαγγελέας προτείνει στο ακροατήριο και ο δικαστής ή οι δικαστές αποφασίζουν. Αν δεν προτείνει ο εισαγγελέας υπάρχει απόλυτη ακυρότητα. Ο </w:t>
      </w:r>
      <w:r w:rsidRPr="00A1004A">
        <w:rPr>
          <w:rStyle w:val="a4"/>
        </w:rPr>
        <w:t>εισαγγελέας</w:t>
      </w:r>
      <w:r>
        <w:t xml:space="preserve"> </w:t>
      </w:r>
      <w:r w:rsidRPr="00A1004A">
        <w:rPr>
          <w:rStyle w:val="a5"/>
        </w:rPr>
        <w:t>δεν</w:t>
      </w:r>
      <w:r>
        <w:t xml:space="preserve"> είναι διάδικος στη δίκη, γιατί δεν έχει άμεσο συμφέρον από το αποτέλεσμα. Έργο του είναι η εξακρίβωση της αλήθειας, εξετάζει την ενοχή αλλά και την αθωότητα.</w:t>
      </w:r>
    </w:p>
    <w:p w:rsidR="00E822EC" w:rsidRPr="00A1004A" w:rsidRDefault="00E822EC" w:rsidP="00E822EC">
      <w:pPr>
        <w:pStyle w:val="a3"/>
        <w:numPr>
          <w:ilvl w:val="0"/>
          <w:numId w:val="2"/>
        </w:numPr>
        <w:rPr>
          <w:rStyle w:val="a4"/>
        </w:rPr>
      </w:pPr>
      <w:r w:rsidRPr="00A1004A">
        <w:rPr>
          <w:rStyle w:val="a4"/>
        </w:rPr>
        <w:t>ο κατηγορούμενος</w:t>
      </w:r>
    </w:p>
    <w:p w:rsidR="00E822EC" w:rsidRDefault="00E822EC" w:rsidP="00E822EC">
      <w:pPr>
        <w:pStyle w:val="a3"/>
        <w:numPr>
          <w:ilvl w:val="0"/>
          <w:numId w:val="2"/>
        </w:numPr>
      </w:pPr>
      <w:r w:rsidRPr="00A1004A">
        <w:rPr>
          <w:rStyle w:val="a4"/>
        </w:rPr>
        <w:t>αστικός υπεύθυνος</w:t>
      </w:r>
      <w:r>
        <w:t xml:space="preserve"> (αν υπάρχει): αυτός που χρωστάει για να πληρώσει την αποζημίωση, για παράδειγμα η ασφάλεια σε ένα τροχαίο.</w:t>
      </w:r>
    </w:p>
    <w:p w:rsidR="00E822EC" w:rsidRDefault="00E822EC" w:rsidP="00E822EC">
      <w:r>
        <w:t xml:space="preserve">Άρθρο 129 του κώδικα ποινικής : </w:t>
      </w:r>
      <w:r w:rsidRPr="00A1004A">
        <w:rPr>
          <w:rStyle w:val="a6"/>
        </w:rPr>
        <w:t>Συναφή εγκλήματα</w:t>
      </w:r>
      <w:r>
        <w:t xml:space="preserve"> (περιοριστικά):</w:t>
      </w:r>
    </w:p>
    <w:p w:rsidR="00E822EC" w:rsidRDefault="00E822EC" w:rsidP="00E822EC">
      <w:pPr>
        <w:pStyle w:val="a3"/>
        <w:numPr>
          <w:ilvl w:val="0"/>
          <w:numId w:val="3"/>
        </w:numPr>
      </w:pPr>
      <w:r>
        <w:t xml:space="preserve">συρροή, </w:t>
      </w:r>
      <w:proofErr w:type="spellStart"/>
      <w:r>
        <w:t>παραυτουργία</w:t>
      </w:r>
      <w:proofErr w:type="spellEnd"/>
      <w:r>
        <w:t xml:space="preserve"> (</w:t>
      </w:r>
      <w:proofErr w:type="spellStart"/>
      <w:r>
        <w:t>συνεκτέλεση</w:t>
      </w:r>
      <w:proofErr w:type="spellEnd"/>
      <w:r>
        <w:t xml:space="preserve"> χωρίς τη </w:t>
      </w:r>
      <w:proofErr w:type="spellStart"/>
      <w:r>
        <w:t>συναπόφαση</w:t>
      </w:r>
      <w:proofErr w:type="spellEnd"/>
      <w:r>
        <w:t>, γιατί αλλιώς συναυτουργία)</w:t>
      </w:r>
    </w:p>
    <w:p w:rsidR="00E822EC" w:rsidRDefault="00E822EC" w:rsidP="00E822EC">
      <w:pPr>
        <w:pStyle w:val="a3"/>
        <w:numPr>
          <w:ilvl w:val="0"/>
          <w:numId w:val="3"/>
        </w:numPr>
      </w:pPr>
      <w:r>
        <w:t>συμπλοκή του 313 του ποινικού κώδικα</w:t>
      </w:r>
    </w:p>
    <w:p w:rsidR="00E822EC" w:rsidRDefault="00E822EC" w:rsidP="00E822EC">
      <w:pPr>
        <w:pStyle w:val="a3"/>
        <w:numPr>
          <w:ilvl w:val="0"/>
          <w:numId w:val="3"/>
        </w:numPr>
      </w:pPr>
      <w:r>
        <w:t>παρασιώπηση, υπόθαλψη, αποδοχή και διάθεση προϊόντων εγκλήματος</w:t>
      </w:r>
      <w:r w:rsidR="003605DA">
        <w:t xml:space="preserve"> (δίνεται έμφαση στην εγκληματική πράξη- συνάφεια).</w:t>
      </w:r>
    </w:p>
    <w:p w:rsidR="003605DA" w:rsidRDefault="003605DA" w:rsidP="003605DA">
      <w:r>
        <w:t>Άρθρο 130 του κώδικα ποινικής : αρμοδιότητα λόγω συμμετοχής (το βάρος στο δράστη)</w:t>
      </w:r>
      <w:r>
        <w:br/>
        <w:t xml:space="preserve">Άρθρο 128 του κώδικα : εκδίκαση συναφών (συναφή εγκλήματα, από το ίδιο δικαστήριο, </w:t>
      </w:r>
      <w:r w:rsidRPr="00A1004A">
        <w:rPr>
          <w:rStyle w:val="a7"/>
        </w:rPr>
        <w:t>αρμόδιο δικαστήριο θεωρείται αυτό που είναι αρμόδιο για το βαρύτερο έγκλημα</w:t>
      </w:r>
      <w:r>
        <w:t xml:space="preserve">), </w:t>
      </w:r>
      <w:proofErr w:type="spellStart"/>
      <w:r>
        <w:t>π.χ</w:t>
      </w:r>
      <w:proofErr w:type="spellEnd"/>
      <w:r>
        <w:t xml:space="preserve"> απόπειρα ανθρωποκτονίας από πρόθεση (άρθρο 299 παράγραφος 1 του ποινικού κώδικα σε συνάφεια με ληστεία με ιδιαίτερη σκληρότητα (άρθρο 380 παράγραφος 2 του ποινικού κώδικα). Για την απόπειρα ανθρωποκτονίας αρμόδιο στον πρώτο βαθμό </w:t>
      </w:r>
      <w:proofErr w:type="spellStart"/>
      <w:r>
        <w:t>καθ΄</w:t>
      </w:r>
      <w:proofErr w:type="spellEnd"/>
      <w:r>
        <w:t xml:space="preserve"> ύλη είναι το μικτό ορκωτό, με ποινή την ισόβια κάθειρξη, ενώ για τη ληστεία αρμόδιο σε πρώτο βαθμό είναι το τριμελές εφετείο κακουργημάτων με ποινή ισόβια κάθειρξη. Σ’ αυτή την περίπτωση συμπαρασύρεται η απόπειρα ανθρωποκτονίας από τη ληστεία ως βαρύτερη πράξη, αφού η </w:t>
      </w:r>
      <w:r>
        <w:lastRenderedPageBreak/>
        <w:t xml:space="preserve">ληστεία είναι τετελεσμένο έγκλημα, άρα βαρύτερο/ σοβαρότερο. Αν δεν ήταν απόπειρα ανθρωποκτονίας, αλλά ανθρωποκτονία και ληστεία, τότε τα δύο εγκλήματα είναι ίσης βαρύτητας και έχουν ίδια απαξία, σε ομοιόβαθμα δικαστήρια, αλλά όχι ομοειδή! Υπάρχει η άποψη, σε αυτή την περίπτωση ότι, πρέπει να δικαστούν χωριστά εφόσον είναι ίσης βαρύτητας, άλλη άποψη ισχυρίζεται ότι θα είναι δύσκολο για τους ενόρκους να κατανοήσουν τους νομικούς όρους και άρα θα πρέπει να προτιμηθεί το τριμελές εφετείο κακουργημάτων. Τρίτη άποψη (Μαργαρίτης) βασισμένη στο 130 παράγραφος 1 εδάφιο τρίτο του κώδικα ποινικής «το μικτό ορκωτό δικαστήριο θεωρείται στην περίπτωση αυτή ανώτερο από τα άλλα», θα πρέπει να ισχύσει αναλογικά και στην περίπτωση αυτή. </w:t>
      </w:r>
      <w:r>
        <w:br/>
        <w:t>Πάντως, η καθ’ ύλη αναρμοδιότητα αποτελεί βασικό λόγο αναίρεσης.</w:t>
      </w:r>
    </w:p>
    <w:p w:rsidR="003605DA" w:rsidRDefault="003605DA" w:rsidP="003605DA">
      <w:r w:rsidRPr="00A1004A">
        <w:rPr>
          <w:rStyle w:val="1Char"/>
        </w:rPr>
        <w:t>Αρμοδιότητα κατά παραπομπή</w:t>
      </w:r>
      <w:r>
        <w:t xml:space="preserve">: </w:t>
      </w:r>
      <w:r>
        <w:br/>
        <w:t xml:space="preserve">Άρθρο 136 (περιοριστικά οι λόγοι): από αρμόδιο δικαστήριο παραπέμπεται σε </w:t>
      </w:r>
      <w:r w:rsidRPr="00A1004A">
        <w:rPr>
          <w:rStyle w:val="a4"/>
        </w:rPr>
        <w:t>ισόβαθμο</w:t>
      </w:r>
      <w:r>
        <w:t xml:space="preserve"> και </w:t>
      </w:r>
      <w:r w:rsidRPr="00A1004A">
        <w:rPr>
          <w:rStyle w:val="a4"/>
        </w:rPr>
        <w:t>ομοειδές</w:t>
      </w:r>
      <w:r>
        <w:t xml:space="preserve"> δικαστήριο όταν:</w:t>
      </w:r>
    </w:p>
    <w:p w:rsidR="003605DA" w:rsidRDefault="00A1004A" w:rsidP="003605DA">
      <w:pPr>
        <w:pStyle w:val="a3"/>
        <w:numPr>
          <w:ilvl w:val="0"/>
          <w:numId w:val="4"/>
        </w:numPr>
      </w:pPr>
      <w:r>
        <w:t xml:space="preserve">υπάρχουν εξαιρέσεις ώστε να μην μπορεί να σχηματιστεί ο απαραίτητος αριθμός για δίκη, (άρθρα 14 επόμενα)(εξαίρεση: συγγένεια και φιλικές σχέσεις, αλλά και υπόνοιες μεροληψίας- άρθρο 15 </w:t>
      </w:r>
      <w:proofErr w:type="spellStart"/>
      <w:r>
        <w:t>β΄</w:t>
      </w:r>
      <w:proofErr w:type="spellEnd"/>
      <w:r>
        <w:t>: τρόπος που διευθύνει τη συζήτηση ο δικαστής δεν θεμελιώνει λόγο εξαίρεσης, σε αντίθεση με το άρθρο 332, όπου επιτάσσει ότι ο δικαστής πρέπει να παραμένει απαθής και ψύχραιμος.</w:t>
      </w:r>
    </w:p>
    <w:p w:rsidR="00A1004A" w:rsidRDefault="00A1004A" w:rsidP="003605DA">
      <w:pPr>
        <w:pStyle w:val="a3"/>
        <w:numPr>
          <w:ilvl w:val="0"/>
          <w:numId w:val="4"/>
        </w:numPr>
      </w:pPr>
      <w:r>
        <w:t>Ασθένεια δικαστή για δύο μήνες, αναφορά κυρίως σε μικρές δικαστικές περιφέρειες</w:t>
      </w:r>
    </w:p>
    <w:p w:rsidR="00A1004A" w:rsidRDefault="00A1004A" w:rsidP="003605DA">
      <w:pPr>
        <w:pStyle w:val="a3"/>
        <w:numPr>
          <w:ilvl w:val="0"/>
          <w:numId w:val="4"/>
        </w:numPr>
      </w:pPr>
      <w:r>
        <w:t>Λόγοι δημόσιας ασφάλειας και τάξης</w:t>
      </w:r>
    </w:p>
    <w:p w:rsidR="00A1004A" w:rsidRDefault="00A1004A" w:rsidP="003605DA">
      <w:pPr>
        <w:pStyle w:val="a3"/>
        <w:numPr>
          <w:ilvl w:val="0"/>
          <w:numId w:val="4"/>
        </w:numPr>
      </w:pPr>
      <w:r>
        <w:t>Κατηγορούμενος είναι ήδη στη φυλακή και έχει ασκηθεί ποινική δίωξη για άλλο έγκλημα</w:t>
      </w:r>
    </w:p>
    <w:p w:rsidR="00A1004A" w:rsidRDefault="00A1004A" w:rsidP="003605DA">
      <w:pPr>
        <w:pStyle w:val="a3"/>
        <w:numPr>
          <w:ilvl w:val="0"/>
          <w:numId w:val="4"/>
        </w:numPr>
      </w:pPr>
      <w:r>
        <w:t>Αν θύμα ή κατηγορούμενος είναι από πάρεδρος και πάνω</w:t>
      </w:r>
    </w:p>
    <w:p w:rsidR="00A1004A" w:rsidRDefault="00A1004A" w:rsidP="003605DA">
      <w:pPr>
        <w:pStyle w:val="a3"/>
        <w:numPr>
          <w:ilvl w:val="0"/>
          <w:numId w:val="4"/>
        </w:numPr>
      </w:pPr>
      <w:r>
        <w:t xml:space="preserve">Άρθρο 117 παράγραφος 2, εξύβριση και δυσφήμιση δικαστηρίου από δικηγόρο, άρθρο 132 παράγραφος 2, κανονισμός της αρμοδιότητας (θετικής- όταν πολλά δικαστήρια θεωρούν εαυτό εξίσου αρμόδιο και αρνητικής αρμοδιότητας- κανένα δικαστήριο δεν θεωρεί τον εαυτό του αρμόδιο) παραπέμπεται στο Συμβούλιο Εφετών ή στον Άρειο Πάγο. </w:t>
      </w:r>
    </w:p>
    <w:sectPr w:rsidR="00A1004A" w:rsidSect="00F528A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7AB"/>
    <w:multiLevelType w:val="hybridMultilevel"/>
    <w:tmpl w:val="D0CCC3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46B43D6D"/>
    <w:multiLevelType w:val="hybridMultilevel"/>
    <w:tmpl w:val="6A7A410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4F581FA0"/>
    <w:multiLevelType w:val="hybridMultilevel"/>
    <w:tmpl w:val="06C88E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4F7D2DE1"/>
    <w:multiLevelType w:val="hybridMultilevel"/>
    <w:tmpl w:val="ADCCEB8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42317"/>
    <w:rsid w:val="00242317"/>
    <w:rsid w:val="003605DA"/>
    <w:rsid w:val="00A1004A"/>
    <w:rsid w:val="00CE10CE"/>
    <w:rsid w:val="00DA4782"/>
    <w:rsid w:val="00E822EC"/>
    <w:rsid w:val="00F528A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782"/>
  </w:style>
  <w:style w:type="paragraph" w:styleId="1">
    <w:name w:val="heading 1"/>
    <w:basedOn w:val="a"/>
    <w:next w:val="a"/>
    <w:link w:val="1Char"/>
    <w:uiPriority w:val="9"/>
    <w:qFormat/>
    <w:rsid w:val="00A1004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A1004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22EC"/>
    <w:pPr>
      <w:ind w:left="720"/>
      <w:contextualSpacing/>
    </w:pPr>
  </w:style>
  <w:style w:type="character" w:customStyle="1" w:styleId="2Char">
    <w:name w:val="Επικεφαλίδα 2 Char"/>
    <w:basedOn w:val="a0"/>
    <w:link w:val="2"/>
    <w:uiPriority w:val="9"/>
    <w:rsid w:val="00A1004A"/>
    <w:rPr>
      <w:rFonts w:asciiTheme="majorHAnsi" w:eastAsiaTheme="majorEastAsia" w:hAnsiTheme="majorHAnsi" w:cstheme="majorBidi"/>
      <w:b/>
      <w:bCs/>
      <w:color w:val="4F81BD" w:themeColor="accent1"/>
      <w:sz w:val="26"/>
      <w:szCs w:val="26"/>
    </w:rPr>
  </w:style>
  <w:style w:type="character" w:customStyle="1" w:styleId="1Char">
    <w:name w:val="Επικεφαλίδα 1 Char"/>
    <w:basedOn w:val="a0"/>
    <w:link w:val="1"/>
    <w:uiPriority w:val="9"/>
    <w:rsid w:val="00A1004A"/>
    <w:rPr>
      <w:rFonts w:asciiTheme="majorHAnsi" w:eastAsiaTheme="majorEastAsia" w:hAnsiTheme="majorHAnsi" w:cstheme="majorBidi"/>
      <w:b/>
      <w:bCs/>
      <w:color w:val="365F91" w:themeColor="accent1" w:themeShade="BF"/>
      <w:sz w:val="28"/>
      <w:szCs w:val="28"/>
    </w:rPr>
  </w:style>
  <w:style w:type="character" w:styleId="a4">
    <w:name w:val="Emphasis"/>
    <w:basedOn w:val="a0"/>
    <w:uiPriority w:val="20"/>
    <w:qFormat/>
    <w:rsid w:val="00A1004A"/>
    <w:rPr>
      <w:i/>
      <w:iCs/>
    </w:rPr>
  </w:style>
  <w:style w:type="character" w:styleId="a5">
    <w:name w:val="Strong"/>
    <w:basedOn w:val="a0"/>
    <w:uiPriority w:val="22"/>
    <w:qFormat/>
    <w:rsid w:val="00A1004A"/>
    <w:rPr>
      <w:b/>
      <w:bCs/>
    </w:rPr>
  </w:style>
  <w:style w:type="character" w:styleId="a6">
    <w:name w:val="Intense Emphasis"/>
    <w:basedOn w:val="a0"/>
    <w:uiPriority w:val="21"/>
    <w:qFormat/>
    <w:rsid w:val="00A1004A"/>
    <w:rPr>
      <w:b/>
      <w:bCs/>
      <w:i/>
      <w:iCs/>
      <w:color w:val="4F81BD" w:themeColor="accent1"/>
    </w:rPr>
  </w:style>
  <w:style w:type="character" w:styleId="a7">
    <w:name w:val="Subtle Emphasis"/>
    <w:basedOn w:val="a0"/>
    <w:uiPriority w:val="19"/>
    <w:qFormat/>
    <w:rsid w:val="00A1004A"/>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2</Pages>
  <Words>683</Words>
  <Characters>3689</Characters>
  <Application>Microsoft Office Word</Application>
  <DocSecurity>0</DocSecurity>
  <Lines>30</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Ελένη</dc:creator>
  <cp:lastModifiedBy>Ελένη</cp:lastModifiedBy>
  <cp:revision>1</cp:revision>
  <dcterms:created xsi:type="dcterms:W3CDTF">2014-02-08T17:07:00Z</dcterms:created>
  <dcterms:modified xsi:type="dcterms:W3CDTF">2014-02-08T19:26:00Z</dcterms:modified>
</cp:coreProperties>
</file>