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B3578F">
      <w:r>
        <w:t>Ποινική Δικονομία</w:t>
      </w:r>
      <w:r>
        <w:br/>
        <w:t xml:space="preserve">Καθηγητής : κ. </w:t>
      </w:r>
      <w:proofErr w:type="spellStart"/>
      <w:r>
        <w:t>Κιούπης</w:t>
      </w:r>
      <w:proofErr w:type="spellEnd"/>
      <w:r>
        <w:br/>
        <w:t>Ημερομηνία : 27/2/2014</w:t>
      </w:r>
    </w:p>
    <w:p w:rsidR="00B3578F" w:rsidRDefault="00B3578F">
      <w:r>
        <w:t xml:space="preserve">Άρθρα 328 μέχρι 335 του κώδικα ποινικής, αναφορικά με τον απόντα κατηγορούμενο. </w:t>
      </w:r>
    </w:p>
    <w:p w:rsidR="00B3578F" w:rsidRDefault="00B3578F">
      <w:r w:rsidRPr="00E02A41">
        <w:rPr>
          <w:rStyle w:val="a3"/>
        </w:rPr>
        <w:t>Αρχή της ηθικής απόδειξης</w:t>
      </w:r>
      <w:r>
        <w:t xml:space="preserve">, σε αντίθεση με τις νομικές αποδείξεις. Οι </w:t>
      </w:r>
      <w:r w:rsidRPr="00E02A41">
        <w:rPr>
          <w:rStyle w:val="a4"/>
        </w:rPr>
        <w:t>νομικές αποδείξεις</w:t>
      </w:r>
      <w:r>
        <w:t xml:space="preserve"> σήμαιναν το βάρος κάθε αποδεικτικού μέσου, το οποίο έπρεπε να λάβει υπόψη ο δικαστής. Είχαν ως στόχο να καταπολεμήσουν την αυθαιρεσία, όμως στην πορεία έφταναν μέχρι το σημείο να χρησιμοποιούνται βασανιστήρια για την απόσπαση ομολογίας</w:t>
      </w:r>
      <w:r w:rsidR="007B12AB">
        <w:t xml:space="preserve">, κι όταν καταργήθηκαν τα βασανιστήρια δημιουργήθηκε ένα θέμα με τις νομικές αποδείξεις, οπότε δημιούργησαν τις ποινές υπόνοιας, δηλαδή μια ελαφρότερη ποινή επειδή θεωρεί τον κατηγορούμενο ύποπτο. Σήμερα γίνεται αποδεκτή η </w:t>
      </w:r>
      <w:r w:rsidR="007B12AB" w:rsidRPr="00E02A41">
        <w:rPr>
          <w:rStyle w:val="a5"/>
        </w:rPr>
        <w:t>αρχή της ηθικής απόδειξης</w:t>
      </w:r>
      <w:r w:rsidR="007B12AB">
        <w:t xml:space="preserve">, γαλλικής προέλευσης, ο δικαστής σχηματίζει την πεποίθησή του με </w:t>
      </w:r>
      <w:r w:rsidR="007B12AB" w:rsidRPr="00E02A41">
        <w:rPr>
          <w:rStyle w:val="a4"/>
        </w:rPr>
        <w:t>βάση τη συνείδησή</w:t>
      </w:r>
      <w:r w:rsidR="007B12AB">
        <w:t xml:space="preserve"> του, σαν ένα σύστημα δημοκρατικού ελέγχου. Σε ιστορική διάσταση ο δικαστής ήταν κάποιος που προερχόταν από την κοινωνία, όπως και ο κατηγορούμενος, το ίδιο και οι ένορκοι, οι οποίοι θα ήταν δύσκολο να ακολουθήσουν νομικούς κανόνες. </w:t>
      </w:r>
    </w:p>
    <w:p w:rsidR="007B12AB" w:rsidRDefault="007B12AB">
      <w:r>
        <w:t xml:space="preserve">Άρθρο 177 του κώδικα ποινικής, ο </w:t>
      </w:r>
      <w:r w:rsidRPr="00E02A41">
        <w:rPr>
          <w:rStyle w:val="a4"/>
        </w:rPr>
        <w:t>ορισμός</w:t>
      </w:r>
      <w:r>
        <w:t xml:space="preserve"> (διάφορη από την ηθική και τους ηθικούς κανόνες, αλλά σύμφωνα με τη συνείδηση). Οι δικαστές αποφασίζουν κατά την πεποίθησή τους, φωνή της συνείδησης, </w:t>
      </w:r>
      <w:r w:rsidRPr="00E02A41">
        <w:rPr>
          <w:rStyle w:val="a4"/>
        </w:rPr>
        <w:t>απροσωπόληπτη κρίση</w:t>
      </w:r>
      <w:r>
        <w:t xml:space="preserve">. </w:t>
      </w:r>
      <w:r w:rsidRPr="00E02A41">
        <w:rPr>
          <w:rStyle w:val="a5"/>
        </w:rPr>
        <w:t>Ελεύθερη εκτίμηση των αποδεικτικών</w:t>
      </w:r>
      <w:r>
        <w:t xml:space="preserve"> </w:t>
      </w:r>
      <w:r w:rsidRPr="00E02A41">
        <w:rPr>
          <w:rStyle w:val="a5"/>
        </w:rPr>
        <w:t>μέσων</w:t>
      </w:r>
      <w:r>
        <w:t xml:space="preserve">, ελεύθερα από οποιονδήποτε αποδεικτικά μέσα, άρθρο 178 του κώδικα ποινικής αναφέρει ενδεικτικά τα κυριότερα αποδεικτικά μέσα. Πώς μπορούμε να ξέρουμε ότι δεν είναι αυθαίρετη απόφαση; Κυρίως στα αμιγώς ορκωτά δικαστήρια υπάρχει το ζήτημα. Αξιώνουμε αιτιολογία στην απόφαση, δεν μας αρκεί ότι αποφασίζει με συνείδηση, θέλουμε την αιτιολογία, για ποια πράξη, σε ποιο έγκλημα, τι ελαφρυντικά, τι επιμέτρηση ποινής και άλλα. Στόχοι της αιτιολόγησης είναι ο </w:t>
      </w:r>
      <w:proofErr w:type="spellStart"/>
      <w:r w:rsidRPr="00E02A41">
        <w:rPr>
          <w:rStyle w:val="a4"/>
        </w:rPr>
        <w:t>εξορθολογισμός</w:t>
      </w:r>
      <w:proofErr w:type="spellEnd"/>
      <w:r>
        <w:t xml:space="preserve"> της κρίσης του δικαστή, η ανάγκη </w:t>
      </w:r>
      <w:r w:rsidRPr="00E02A41">
        <w:rPr>
          <w:rStyle w:val="a4"/>
        </w:rPr>
        <w:t>θεμελιωμένης κρίσης</w:t>
      </w:r>
      <w:r>
        <w:t xml:space="preserve">, όχι απλά ένα γυμνό ναι ή όχι, έτσι θα μπορεί να ελεγχθεί η απόφαση με τα ένδικα μέσα, αντίθετα σε άλλα συστήματα δεν υπάρχει έφεση. Μεγάλη συζήτηση για το πώς πρέπει να είναι γραμμένη η αιτιολογία, πόσο τεκμηριωμένη, τι θέματα να καλύπτει. </w:t>
      </w:r>
      <w:r>
        <w:br/>
        <w:t xml:space="preserve">Στην παράγραφο 2 αναφέρονται οι </w:t>
      </w:r>
      <w:r w:rsidRPr="00E02A41">
        <w:rPr>
          <w:rStyle w:val="a5"/>
        </w:rPr>
        <w:t>αποδεικτικές απαγορεύσεις</w:t>
      </w:r>
      <w:r>
        <w:t xml:space="preserve">, δηλαδή μέσα που έχουν αποκτηθεί </w:t>
      </w:r>
      <w:r w:rsidRPr="00E02A41">
        <w:rPr>
          <w:rStyle w:val="a4"/>
        </w:rPr>
        <w:t>με αξιόποινες πράξεις</w:t>
      </w:r>
      <w:r>
        <w:t xml:space="preserve"> ή μέσω αυτών </w:t>
      </w:r>
      <w:r w:rsidRPr="00E02A41">
        <w:rPr>
          <w:rStyle w:val="a5"/>
        </w:rPr>
        <w:t>δεν</w:t>
      </w:r>
      <w:r>
        <w:t xml:space="preserve"> λαμβάνονται υπόψη στην ποινική διαδικασία, υπάρχουν αποδεικτικές απαγορεύσεις και σε ειδικούς νόμους. Είναι </w:t>
      </w:r>
      <w:r w:rsidRPr="00E02A41">
        <w:rPr>
          <w:rStyle w:val="a4"/>
        </w:rPr>
        <w:t>συνταγματικά κατοχυρωμένο</w:t>
      </w:r>
      <w:r>
        <w:t xml:space="preserve">, υπάρχει μια άποψη που ισχυρίζεται ότι αυτός που κάνει την ποινική πράξη, για παράδειγμα τα βασανιστήρια, έχει την ποινική ευθύνη, αλλά αφού έχουμε το αποδεικτικό μέσο θα το χρησιμοποιήσουμε, ενώ υπάρχει και μια άλλη άποψη που λέει ότι αποκτήθηκε παράνομα δεν χρησιμοποιείται στην ποινική δίκη. Το ζήτημα είναι πού είναι τα όρια. Στην Ελλάδα οι αποδεικτικές απαγορεύσεις έχουν όρια; </w:t>
      </w:r>
      <w:r w:rsidR="003203CC">
        <w:t xml:space="preserve">Υπάρχουν διάφορες απόψεις που είτε υποστηρίζουν ότι υπάρχουν ελάχιστα όρια, είτε (κρατούσα) λαμβάνονται υπόψη όταν είναι υπέρ του κατηγορουμένου, κάμψη της απαγόρευσης, θεωρία και νομολογία, όταν δεν έχει άλλο μέσο για απόδειξη της αθωότητάς του. Μια Τρίτη άποψη υποστηρίζει ότι παίζει ρόλο η βαρύτητα του εγκλήματος, ενώ μια τέταρτη ότι επιτρέπεται η χρήση των απαγορευμένων καρπών, κάτι που μαθαίνουμε μέσω της παράνομης πράξης. </w:t>
      </w:r>
    </w:p>
    <w:p w:rsidR="003203CC" w:rsidRDefault="003203CC">
      <w:r w:rsidRPr="00E02A41">
        <w:rPr>
          <w:rStyle w:val="a3"/>
        </w:rPr>
        <w:lastRenderedPageBreak/>
        <w:t>Τεκμήριο αθωότητας</w:t>
      </w:r>
      <w:r>
        <w:t xml:space="preserve"> και </w:t>
      </w:r>
      <w:proofErr w:type="spellStart"/>
      <w:r w:rsidRPr="00E02A41">
        <w:rPr>
          <w:rStyle w:val="a3"/>
        </w:rPr>
        <w:t>in</w:t>
      </w:r>
      <w:proofErr w:type="spellEnd"/>
      <w:r w:rsidRPr="00E02A41">
        <w:rPr>
          <w:rStyle w:val="a3"/>
        </w:rPr>
        <w:t xml:space="preserve"> </w:t>
      </w:r>
      <w:proofErr w:type="spellStart"/>
      <w:r w:rsidRPr="00E02A41">
        <w:rPr>
          <w:rStyle w:val="a3"/>
        </w:rPr>
        <w:t>dubio</w:t>
      </w:r>
      <w:proofErr w:type="spellEnd"/>
      <w:r w:rsidRPr="00E02A41">
        <w:rPr>
          <w:rStyle w:val="a3"/>
        </w:rPr>
        <w:t xml:space="preserve"> </w:t>
      </w:r>
      <w:proofErr w:type="spellStart"/>
      <w:r w:rsidRPr="00E02A41">
        <w:rPr>
          <w:rStyle w:val="a3"/>
        </w:rPr>
        <w:t>pro</w:t>
      </w:r>
      <w:proofErr w:type="spellEnd"/>
      <w:r w:rsidRPr="00E02A41">
        <w:rPr>
          <w:rStyle w:val="a3"/>
        </w:rPr>
        <w:t xml:space="preserve"> </w:t>
      </w:r>
      <w:proofErr w:type="spellStart"/>
      <w:r w:rsidRPr="00E02A41">
        <w:rPr>
          <w:rStyle w:val="a3"/>
        </w:rPr>
        <w:t>reo</w:t>
      </w:r>
      <w:proofErr w:type="spellEnd"/>
      <w:r>
        <w:br/>
        <w:t xml:space="preserve">ποινή υπόνοιας, προσωρινή παύση της ποινικής διαδικασίας, προσωρινή απαλλαγή (κάτι που ίσχυε παλιότερα). Εάν δεν έχει αμφιβολίες, κηρύσσει ένοχο τον κατηγορούμενο, εάν έχει </w:t>
      </w:r>
      <w:r w:rsidRPr="00E02A41">
        <w:rPr>
          <w:rStyle w:val="a5"/>
        </w:rPr>
        <w:t>αμφιβολίες</w:t>
      </w:r>
      <w:r>
        <w:t xml:space="preserve"> πρέπει να τον κηρύξει </w:t>
      </w:r>
      <w:r w:rsidRPr="00E02A41">
        <w:rPr>
          <w:rStyle w:val="a5"/>
        </w:rPr>
        <w:t>αθώο</w:t>
      </w:r>
      <w:r>
        <w:t xml:space="preserve">. Άρθρο 6 της ΕΣΔΑ κατοχυρώνει το τεκμήριο αθωότητας, το οποίο πρέπει να διατρέχει όλη την ποινική διαδικασία. Το </w:t>
      </w:r>
      <w:proofErr w:type="spellStart"/>
      <w:r w:rsidRPr="00E02A41">
        <w:rPr>
          <w:rStyle w:val="a4"/>
        </w:rPr>
        <w:t>in</w:t>
      </w:r>
      <w:proofErr w:type="spellEnd"/>
      <w:r w:rsidRPr="00E02A41">
        <w:rPr>
          <w:rStyle w:val="a4"/>
        </w:rPr>
        <w:t xml:space="preserve"> </w:t>
      </w:r>
      <w:proofErr w:type="spellStart"/>
      <w:r w:rsidRPr="00E02A41">
        <w:rPr>
          <w:rStyle w:val="a4"/>
        </w:rPr>
        <w:t>dubio</w:t>
      </w:r>
      <w:proofErr w:type="spellEnd"/>
      <w:r w:rsidRPr="00E02A41">
        <w:rPr>
          <w:rStyle w:val="a4"/>
        </w:rPr>
        <w:t xml:space="preserve"> </w:t>
      </w:r>
      <w:proofErr w:type="spellStart"/>
      <w:r w:rsidRPr="00E02A41">
        <w:rPr>
          <w:rStyle w:val="a4"/>
        </w:rPr>
        <w:t>pro</w:t>
      </w:r>
      <w:proofErr w:type="spellEnd"/>
      <w:r w:rsidRPr="00E02A41">
        <w:rPr>
          <w:rStyle w:val="a4"/>
        </w:rPr>
        <w:t xml:space="preserve"> </w:t>
      </w:r>
      <w:proofErr w:type="spellStart"/>
      <w:r w:rsidRPr="00E02A41">
        <w:rPr>
          <w:rStyle w:val="a4"/>
        </w:rPr>
        <w:t>reo</w:t>
      </w:r>
      <w:proofErr w:type="spellEnd"/>
      <w:r w:rsidRPr="00E02A41">
        <w:rPr>
          <w:rStyle w:val="a4"/>
        </w:rPr>
        <w:t xml:space="preserve"> αφορά μόνο τη δικαστική κρίση</w:t>
      </w:r>
      <w:r>
        <w:t xml:space="preserve">, μόνο όταν ο δικαστής θα εκδώσει απόφαση, όχι από την αρχή. Το </w:t>
      </w:r>
      <w:r w:rsidRPr="00E02A41">
        <w:rPr>
          <w:rStyle w:val="a4"/>
        </w:rPr>
        <w:t>τεκμήριο αθωότητας</w:t>
      </w:r>
      <w:r>
        <w:t xml:space="preserve"> είναι ευρύτερο και καλύπτει </w:t>
      </w:r>
      <w:r w:rsidRPr="00E02A41">
        <w:rPr>
          <w:rStyle w:val="a4"/>
        </w:rPr>
        <w:t>όλη τη διαδικασία</w:t>
      </w:r>
      <w:r>
        <w:t xml:space="preserve">. </w:t>
      </w:r>
      <w:r>
        <w:br/>
        <w:t xml:space="preserve">Τεκμήριο αθωότητας : ο κατηγορούμενος καθ’ όλη τη διάρκεια της διαδικασίας πρέπει να αντιμετωπίζεται </w:t>
      </w:r>
      <w:r w:rsidRPr="00E02A41">
        <w:rPr>
          <w:rStyle w:val="a4"/>
        </w:rPr>
        <w:t>ως κατηγορούμενος</w:t>
      </w:r>
      <w:r>
        <w:t xml:space="preserve"> και όχι ως αθώος. Όλα τα μέτρα πρέπει να είναι σαν κατηγορούμενος και όχι σαν ένοχος, δεν έχει καταδικαστεί, για παράδειγμα στη προσωρινή κράτηση. Αφορά όλα τα κρατικά όργανα, όχι μόνο τα δικαστικά όργανα της προδικασίας, αλλά για παράδειγμα ούτε κάποιος βουλευτής ή υπουργός δεν επιτρέπεται να λέει ότι είναι ένοχος. Το δικαίωμα αυτό </w:t>
      </w:r>
      <w:proofErr w:type="spellStart"/>
      <w:r w:rsidRPr="00E02A41">
        <w:rPr>
          <w:rStyle w:val="a5"/>
        </w:rPr>
        <w:t>τριτενεργεί</w:t>
      </w:r>
      <w:proofErr w:type="spellEnd"/>
      <w:r>
        <w:t xml:space="preserve">, ακόμα και τα μέσα μαζικής ενημέρωσης πρέπει να είναι προσεχτικά. Πρέπει να διέπεται και από την αρχή της αναλογικότητας. Το ζήτημα είναι αν είναι συμβατά με την ποινική δίκη κάποια τεκμήρια ενοχής, άρθρο 366 του ποινικού κώδικα. Υπάρχει μία συζήτηση ότι το τεκμήριο αθωότητας είναι μαχητό. </w:t>
      </w:r>
      <w:r>
        <w:br/>
      </w:r>
      <w:r>
        <w:rPr>
          <w:lang w:val="en-US"/>
        </w:rPr>
        <w:t>In</w:t>
      </w:r>
      <w:r w:rsidRPr="003203CC">
        <w:t xml:space="preserve"> </w:t>
      </w:r>
      <w:proofErr w:type="spellStart"/>
      <w:r>
        <w:rPr>
          <w:lang w:val="en-US"/>
        </w:rPr>
        <w:t>dubio</w:t>
      </w:r>
      <w:proofErr w:type="spellEnd"/>
      <w:r w:rsidRPr="003203CC">
        <w:t xml:space="preserve"> </w:t>
      </w:r>
      <w:r>
        <w:rPr>
          <w:lang w:val="en-US"/>
        </w:rPr>
        <w:t>pro</w:t>
      </w:r>
      <w:r w:rsidRPr="003203CC">
        <w:t xml:space="preserve"> </w:t>
      </w:r>
      <w:proofErr w:type="gramStart"/>
      <w:r>
        <w:rPr>
          <w:lang w:val="en-US"/>
        </w:rPr>
        <w:t>reo</w:t>
      </w:r>
      <w:r>
        <w:t xml:space="preserve"> :</w:t>
      </w:r>
      <w:proofErr w:type="gramEnd"/>
      <w:r>
        <w:t xml:space="preserve"> δεν αφορά μόνο το ζήτημα αν είναι ένοχος ή αθώος, αλλά και για άλλα </w:t>
      </w:r>
      <w:r w:rsidRPr="00E02A41">
        <w:rPr>
          <w:rStyle w:val="a4"/>
        </w:rPr>
        <w:t>στοιχεία που επηρεάζουν το αξιόποινο</w:t>
      </w:r>
      <w:r>
        <w:t xml:space="preserve">, για παράδειγμα αν υπάρχει διακεκριμένη ληστεία ή όχι, αν ήταν συνεργός ή αυτουργός, εν αμφιβολία υπέρ του κατηγορουμένου. Για λόγους άρσης του αδίκου ή ελαφρυντικά, πάλι ισχύει το </w:t>
      </w:r>
      <w:r>
        <w:rPr>
          <w:lang w:val="en-US"/>
        </w:rPr>
        <w:t>in</w:t>
      </w:r>
      <w:r w:rsidRPr="003203CC">
        <w:t xml:space="preserve"> </w:t>
      </w:r>
      <w:proofErr w:type="spellStart"/>
      <w:r>
        <w:rPr>
          <w:lang w:val="en-US"/>
        </w:rPr>
        <w:t>dubio</w:t>
      </w:r>
      <w:proofErr w:type="spellEnd"/>
      <w:r w:rsidRPr="003203CC">
        <w:t xml:space="preserve"> </w:t>
      </w:r>
      <w:r>
        <w:rPr>
          <w:lang w:val="en-US"/>
        </w:rPr>
        <w:t>pro</w:t>
      </w:r>
      <w:r w:rsidRPr="003203CC">
        <w:t xml:space="preserve"> </w:t>
      </w:r>
      <w:r>
        <w:rPr>
          <w:lang w:val="en-US"/>
        </w:rPr>
        <w:t>reo</w:t>
      </w:r>
      <w:r w:rsidR="00895CB3">
        <w:t xml:space="preserve">, για παράδειγμα αν ήμουν σε άμυνα ή όχι, όμως κανένα δικαστήριο δεν ελέγχει όλους τους λόγους άρσης του αδίκου ή τον καταλογισμό αυτεπαγγέλτως, μπορεί αλλά δεν το κάνει, αν δεν προκύπτουν από τα στοιχεία που έχει. Ενώ ο κατηγορούμενος δεν έχει κανένα βάρος απόδειξης, έχει το </w:t>
      </w:r>
      <w:r w:rsidR="00895CB3" w:rsidRPr="00E02A41">
        <w:rPr>
          <w:rStyle w:val="a4"/>
        </w:rPr>
        <w:t>βάρος πρόκλησης αμφιβολιών</w:t>
      </w:r>
      <w:r w:rsidR="00895CB3">
        <w:t xml:space="preserve">, αυτό αποτελεί αμφιλεγόμενο ζήτημα. </w:t>
      </w:r>
    </w:p>
    <w:p w:rsidR="00895CB3" w:rsidRDefault="00895CB3">
      <w:r w:rsidRPr="00E02A41">
        <w:rPr>
          <w:rStyle w:val="a3"/>
        </w:rPr>
        <w:t>Αυτοτελείς Ισχυρισμοί</w:t>
      </w:r>
      <w:r>
        <w:t xml:space="preserve"> (έννοια αστικού δικαίου)</w:t>
      </w:r>
      <w:r>
        <w:br/>
        <w:t xml:space="preserve">Ο Άρειος Πάγος, πάγια νομολογία, χρησιμοποιεί ορολογία πολιτικής δίκης, προβολή με τρόπο σαφή και ορισμένο. Θεωρία : ο κατηγορούμενος δεν έχει το βάρος απόδειξης, άρα δεν χρησιμοποιεί αυτοτελείς ισχυρισμούς, έχει υποχρέωση για δημιουργία αμφιβολιών, για παράδειγμα προβολή άμυνας ως άρνηση κατηγορίας, το δικαστήριο οφείλει να ελέγξει αυτεπάγγελτα εάν υπάρχουν οι προϋποθέσεις. Όμως στην πράξη εισάγεται ένας αστικός/ πολιτικός θεσμός στην ποινική δίκη. </w:t>
      </w:r>
    </w:p>
    <w:p w:rsidR="00895CB3" w:rsidRDefault="00895CB3">
      <w:r>
        <w:t xml:space="preserve">Το </w:t>
      </w:r>
      <w:r>
        <w:rPr>
          <w:lang w:val="en-US"/>
        </w:rPr>
        <w:t>in</w:t>
      </w:r>
      <w:r w:rsidRPr="003203CC">
        <w:t xml:space="preserve"> </w:t>
      </w:r>
      <w:proofErr w:type="spellStart"/>
      <w:r>
        <w:rPr>
          <w:lang w:val="en-US"/>
        </w:rPr>
        <w:t>dubio</w:t>
      </w:r>
      <w:proofErr w:type="spellEnd"/>
      <w:r w:rsidRPr="003203CC">
        <w:t xml:space="preserve"> </w:t>
      </w:r>
      <w:r>
        <w:rPr>
          <w:lang w:val="en-US"/>
        </w:rPr>
        <w:t>pro</w:t>
      </w:r>
      <w:r w:rsidRPr="003203CC">
        <w:t xml:space="preserve"> </w:t>
      </w:r>
      <w:r>
        <w:rPr>
          <w:lang w:val="en-US"/>
        </w:rPr>
        <w:t>reo</w:t>
      </w:r>
      <w:r>
        <w:t xml:space="preserve">μπορεί να υπάρχει </w:t>
      </w:r>
      <w:r w:rsidRPr="00E02A41">
        <w:rPr>
          <w:rStyle w:val="a4"/>
        </w:rPr>
        <w:t>και στις δικονομικές προϋποθέσεις</w:t>
      </w:r>
      <w:r>
        <w:t>; Η κρατούσα άποψη λέει πως ναι, για παράδειγμα η ύπαρξη δεδικασμένου, εκκρεμοδικίας, έγκλησης. Η αμφισβήτηση του δικαστή δεν τον οδηγεί σε απαραίτητα αθωωτική κρίση, δηλαδή αν υπάρχει αμφιβολία για την ύπαρξη δεδικασμένου, τότε υπάρχει δεδικασμένο.</w:t>
      </w:r>
    </w:p>
    <w:p w:rsidR="00895CB3" w:rsidRDefault="00895CB3">
      <w:r w:rsidRPr="00E02A41">
        <w:rPr>
          <w:rStyle w:val="a3"/>
        </w:rPr>
        <w:t>Ένδικα μέσα</w:t>
      </w:r>
      <w:r>
        <w:t>, ως αρχές της ποινικής δίκης, στον κατηγορούμενο, στον Εισαγγελέα, στον πολιτικώς ενάγοντα, αλλά περιορισμένα. Γιατί υπάρχουν; Δικάζεται ξανά, ελέγχεται η απόφαση από ένα ανώτερο δικαστήριο. Θέμα με τις καταδικαστικές αθωωτικές αποφάσεις για τον κατηγορούμενο, ένδικα μέσα για όλων των ειδών τις αποφάσεις και βουλεύματα, σήμερα υπάρχει ένας περιορισμός για την έφεση μόνο για νομικούς λόγους, οιονεί αναίρεση. Για τις καταδικαστικές υπάρχει υποχρέωση και από το έβδομο πρωτόκολλο της ΕΣΔΑ.</w:t>
      </w:r>
      <w:r w:rsidR="00861A2B">
        <w:t xml:space="preserve"> Μπορεί να αφορά στο </w:t>
      </w:r>
      <w:r w:rsidR="00861A2B" w:rsidRPr="00E02A41">
        <w:rPr>
          <w:rStyle w:val="a4"/>
        </w:rPr>
        <w:t>σύνολό</w:t>
      </w:r>
      <w:r w:rsidR="00861A2B">
        <w:t xml:space="preserve"> της, στην </w:t>
      </w:r>
      <w:r w:rsidR="00861A2B" w:rsidRPr="00E02A41">
        <w:rPr>
          <w:rStyle w:val="a4"/>
        </w:rPr>
        <w:t>ουσία</w:t>
      </w:r>
      <w:r w:rsidR="00861A2B">
        <w:t xml:space="preserve"> ή στο </w:t>
      </w:r>
      <w:r w:rsidR="00861A2B" w:rsidRPr="00E02A41">
        <w:rPr>
          <w:rStyle w:val="a4"/>
        </w:rPr>
        <w:t>νομικό</w:t>
      </w:r>
      <w:r w:rsidR="00861A2B">
        <w:t xml:space="preserve"> περιεχόμενο της απόφασης η </w:t>
      </w:r>
      <w:r w:rsidR="00861A2B" w:rsidRPr="00E02A41">
        <w:rPr>
          <w:rStyle w:val="a5"/>
        </w:rPr>
        <w:t>έφεση</w:t>
      </w:r>
      <w:r w:rsidR="00861A2B">
        <w:t xml:space="preserve">, αλλά η </w:t>
      </w:r>
      <w:r w:rsidR="00861A2B" w:rsidRPr="00E02A41">
        <w:rPr>
          <w:rStyle w:val="a5"/>
        </w:rPr>
        <w:t>αναίρεση</w:t>
      </w:r>
      <w:r w:rsidR="00861A2B">
        <w:t xml:space="preserve"> αφορά </w:t>
      </w:r>
      <w:r w:rsidR="00861A2B" w:rsidRPr="00E02A41">
        <w:rPr>
          <w:rStyle w:val="a5"/>
        </w:rPr>
        <w:t>μόνο</w:t>
      </w:r>
      <w:r w:rsidR="00861A2B">
        <w:t xml:space="preserve"> το </w:t>
      </w:r>
      <w:r w:rsidR="00861A2B" w:rsidRPr="00E02A41">
        <w:rPr>
          <w:rStyle w:val="a4"/>
        </w:rPr>
        <w:t>νομικό</w:t>
      </w:r>
      <w:r w:rsidR="00861A2B">
        <w:t xml:space="preserve"> τμήμα. Αποτελέσματα είναι </w:t>
      </w:r>
      <w:r w:rsidR="00861A2B">
        <w:lastRenderedPageBreak/>
        <w:t xml:space="preserve">πρώτο, το </w:t>
      </w:r>
      <w:r w:rsidR="00861A2B" w:rsidRPr="00E02A41">
        <w:rPr>
          <w:rStyle w:val="a5"/>
        </w:rPr>
        <w:t>μεταβιβαστικό</w:t>
      </w:r>
      <w:r w:rsidR="00861A2B">
        <w:t xml:space="preserve"> αποτέλεσμα, η μεταβίβαση σε άλλο δικαστήριο, δεύτερο, το </w:t>
      </w:r>
      <w:r w:rsidR="00861A2B" w:rsidRPr="00E02A41">
        <w:rPr>
          <w:rStyle w:val="a5"/>
        </w:rPr>
        <w:t>ανασταλτικό</w:t>
      </w:r>
      <w:r w:rsidR="00861A2B">
        <w:t xml:space="preserve"> αποτέλεσμα, αναστέλλει την ισχύ της πρώτης απόφασης, μπορεί να το προβλέπει και ο νομοθέτης, τρίτο, το </w:t>
      </w:r>
      <w:r w:rsidR="00861A2B" w:rsidRPr="00E02A41">
        <w:rPr>
          <w:rStyle w:val="a5"/>
        </w:rPr>
        <w:t>επεκτατικό</w:t>
      </w:r>
      <w:r w:rsidR="00861A2B">
        <w:t xml:space="preserve"> αποτέλεσμα, υπό προϋποθέσεις, αν επηρεάζει </w:t>
      </w:r>
      <w:proofErr w:type="spellStart"/>
      <w:r w:rsidR="00861A2B">
        <w:t>συμμετόχους</w:t>
      </w:r>
      <w:proofErr w:type="spellEnd"/>
      <w:r w:rsidR="00861A2B">
        <w:t xml:space="preserve"> ή συγκατηγορούμενους, μπορεί να έχει και επιρροή και σε άλλους. </w:t>
      </w:r>
      <w:r w:rsidR="00861A2B" w:rsidRPr="00E02A41">
        <w:rPr>
          <w:rStyle w:val="a5"/>
        </w:rPr>
        <w:t>Αρχή της απαγόρευσης της χειροτέρευσης του κατηγορουμένου</w:t>
      </w:r>
      <w:r w:rsidR="00861A2B">
        <w:t xml:space="preserve">, άρθρο 470 του κώδικα ποινικής, δεσμεύει το δικαστήριο, μόνο όταν έχει ασκηθεί από τον κατηγορούμενο είναι υπέρ του κατηγορουμένου, όχι αν η έφεση ασκήθηκε από τον εισαγγελέα. </w:t>
      </w:r>
    </w:p>
    <w:p w:rsidR="00861A2B" w:rsidRPr="00895CB3" w:rsidRDefault="00861A2B">
      <w:r>
        <w:t xml:space="preserve">Τα ένδικα βοηθήματα δεν έχουν μεταβιβαστικό αποτέλεσμα, για παράδειγμα η αίτηση προς το Συμβούλιο ή το δικαστήριο. </w:t>
      </w:r>
      <w:r w:rsidRPr="00E02A41">
        <w:rPr>
          <w:rStyle w:val="a4"/>
        </w:rPr>
        <w:t xml:space="preserve">Έκτακτο ένδικο </w:t>
      </w:r>
      <w:r w:rsidR="00E02A41">
        <w:rPr>
          <w:rStyle w:val="a4"/>
        </w:rPr>
        <w:t>μ</w:t>
      </w:r>
      <w:r w:rsidRPr="00E02A41">
        <w:rPr>
          <w:rStyle w:val="a4"/>
        </w:rPr>
        <w:t>έσο</w:t>
      </w:r>
      <w:r>
        <w:t xml:space="preserve"> είναι η επανάληψη της διαδικασίας, κυρίως σε καταδικαστικές, αλλά και σε αθωωτικές αποφάσεις, όταν υπάρχουν νέα στοιχεία που αποδεικνύουν ότι καταδικάστηκε άδικα, σπάνια εφαρμοζόμενη στην πράξη.</w:t>
      </w:r>
    </w:p>
    <w:sectPr w:rsidR="00861A2B" w:rsidRPr="00895CB3"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10002FF" w:usb1="4000ACFF" w:usb2="00000009"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578F"/>
    <w:rsid w:val="003203CC"/>
    <w:rsid w:val="007B12AB"/>
    <w:rsid w:val="007C4AA8"/>
    <w:rsid w:val="00861A2B"/>
    <w:rsid w:val="00895CB3"/>
    <w:rsid w:val="00B3578F"/>
    <w:rsid w:val="00DA4782"/>
    <w:rsid w:val="00E02A41"/>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Emphasis"/>
    <w:basedOn w:val="a0"/>
    <w:uiPriority w:val="21"/>
    <w:qFormat/>
    <w:rsid w:val="00E02A41"/>
    <w:rPr>
      <w:b/>
      <w:bCs/>
      <w:i/>
      <w:iCs/>
      <w:color w:val="4F81BD" w:themeColor="accent1"/>
    </w:rPr>
  </w:style>
  <w:style w:type="character" w:styleId="a4">
    <w:name w:val="Emphasis"/>
    <w:basedOn w:val="a0"/>
    <w:uiPriority w:val="20"/>
    <w:qFormat/>
    <w:rsid w:val="00E02A41"/>
    <w:rPr>
      <w:i/>
      <w:iCs/>
    </w:rPr>
  </w:style>
  <w:style w:type="character" w:styleId="a5">
    <w:name w:val="Strong"/>
    <w:basedOn w:val="a0"/>
    <w:uiPriority w:val="22"/>
    <w:qFormat/>
    <w:rsid w:val="00E02A41"/>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4207</TotalTime>
  <Pages>3</Pages>
  <Words>1165</Words>
  <Characters>6292</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2014-03-04T18:33:00Z</dcterms:created>
  <dcterms:modified xsi:type="dcterms:W3CDTF">2014-03-07T16:40:00Z</dcterms:modified>
</cp:coreProperties>
</file>