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E8" w:rsidRDefault="001C7E57">
      <w:r>
        <w:t>Ποινική Δικονομία</w:t>
      </w:r>
      <w:r>
        <w:br/>
        <w:t xml:space="preserve">Καθηγητής : κ. </w:t>
      </w:r>
      <w:proofErr w:type="spellStart"/>
      <w:r>
        <w:t>Κιούπης</w:t>
      </w:r>
      <w:proofErr w:type="spellEnd"/>
      <w:r>
        <w:br/>
        <w:t>Ημερομηνία : 25/2/2014</w:t>
      </w:r>
    </w:p>
    <w:p w:rsidR="001C7E57" w:rsidRDefault="001C7E57" w:rsidP="005A0934">
      <w:pPr>
        <w:pStyle w:val="2"/>
      </w:pPr>
      <w:r>
        <w:t>Ποινική Διαδικασία</w:t>
      </w:r>
    </w:p>
    <w:p w:rsidR="001C7E57" w:rsidRDefault="001C7E57">
      <w:r>
        <w:t xml:space="preserve">Η προδικασία και η κύρια διαδικασία διέπονται από την </w:t>
      </w:r>
      <w:r w:rsidRPr="005A0934">
        <w:rPr>
          <w:rStyle w:val="a3"/>
        </w:rPr>
        <w:t>αρχή της Δημοσιότητας</w:t>
      </w:r>
      <w:r>
        <w:t xml:space="preserve">, άρθρο 329 του κώδικα ποινικής. Υπάρχει η άποψη που ισχυρίζεται ότι θα έπρεπε να ίσχυε η αρχή της μυστικότητας στο ακροατήριο, για να μην επιβαρύνεται ο κατηγορούμενος από τη διαπόμπευση. Όμως αυτό εφαρμόζεται στην προδικασία, αφού ο σκοπός της, η έρευνα μπορεί να επιτευχθεί υπό μυστικότητα. Πρέπει να διακρίνουμε τη μυστικότητα και τη </w:t>
      </w:r>
      <w:r w:rsidRPr="005A0934">
        <w:rPr>
          <w:rStyle w:val="a3"/>
        </w:rPr>
        <w:t>δημοσιότητα σε δύο είδη</w:t>
      </w:r>
      <w:r>
        <w:t xml:space="preserve">, των </w:t>
      </w:r>
      <w:r w:rsidRPr="005A0934">
        <w:rPr>
          <w:rStyle w:val="a3"/>
        </w:rPr>
        <w:t>μερών</w:t>
      </w:r>
      <w:r>
        <w:t xml:space="preserve"> ή διαδίκων και του κοινού, τη «</w:t>
      </w:r>
      <w:r w:rsidRPr="005A0934">
        <w:rPr>
          <w:rStyle w:val="a3"/>
        </w:rPr>
        <w:t>λαϊκή</w:t>
      </w:r>
      <w:r>
        <w:t xml:space="preserve">». </w:t>
      </w:r>
      <w:r>
        <w:br/>
        <w:t xml:space="preserve">Στη </w:t>
      </w:r>
      <w:r w:rsidRPr="005A0934">
        <w:rPr>
          <w:rStyle w:val="a5"/>
        </w:rPr>
        <w:t>προδικασία</w:t>
      </w:r>
      <w:r w:rsidRPr="005A0934">
        <w:rPr>
          <w:rStyle w:val="a3"/>
        </w:rPr>
        <w:t xml:space="preserve"> υπάρχει μυστικότητα</w:t>
      </w:r>
      <w:r>
        <w:t xml:space="preserve">, είναι δηλαδή έξω από το ευρύ κοινό, για αποφυγή του κοινωνικού στιγματισμού και διευκόλυνση της έρευνας. Όμως, υπάρχει η αρχή της </w:t>
      </w:r>
      <w:r w:rsidRPr="005A0934">
        <w:rPr>
          <w:rStyle w:val="a3"/>
        </w:rPr>
        <w:t>δημοσιότητας των μερών</w:t>
      </w:r>
      <w:r>
        <w:t xml:space="preserve">, εσωτερική δημοσιότητα, για εξασφάλιση των </w:t>
      </w:r>
      <w:r w:rsidRPr="005A0934">
        <w:rPr>
          <w:rStyle w:val="a3"/>
        </w:rPr>
        <w:t>δικαιωμάτων</w:t>
      </w:r>
      <w:r>
        <w:t xml:space="preserve"> των διαδίκων, δεν πρέπει αυτή η διαδικασία να είναι μυστική και κατά των μερών. Υπάρχουν συγκεκριμένοι τρόποι που αποκτούν γνώση τα μέρη, για παράδειγμα, για να απολογηθεί ο κατηγορούμενος πρέπει να ξέρει για τι κατηγορείται, τι να αντικρούσει, όμως μέχρι τότε επικρατεί μυστικότητα. </w:t>
      </w:r>
    </w:p>
    <w:p w:rsidR="001B0807" w:rsidRDefault="001C7E57">
      <w:r w:rsidRPr="005A0934">
        <w:rPr>
          <w:rStyle w:val="a5"/>
        </w:rPr>
        <w:t>Εξαιρέσεις</w:t>
      </w:r>
      <w:r>
        <w:t xml:space="preserve"> της λαϊκής δημοσιότητας στην κύρια διαδικασία :</w:t>
      </w:r>
      <w:r>
        <w:br/>
      </w:r>
      <w:r w:rsidR="00661434">
        <w:t xml:space="preserve">Άρθρο 329 του κώδικα ποινικής, «δε συμπλήρωσαν το </w:t>
      </w:r>
      <w:r w:rsidR="00661434" w:rsidRPr="005A0934">
        <w:rPr>
          <w:rStyle w:val="a3"/>
        </w:rPr>
        <w:t xml:space="preserve">17ο έτος </w:t>
      </w:r>
      <w:r w:rsidR="00661434">
        <w:t xml:space="preserve">της ηλικίας τους», παράγραφος 1, «προσελκύσουν </w:t>
      </w:r>
      <w:r w:rsidR="00661434" w:rsidRPr="005A0934">
        <w:rPr>
          <w:rStyle w:val="a3"/>
        </w:rPr>
        <w:t>μεγαλύτερο αριθμό ακροατών</w:t>
      </w:r>
      <w:r w:rsidR="00661434">
        <w:t xml:space="preserve">» παράγραφος 2. Εξασφάλιση της ομαλής διεξαγωγής της δίκης, αλλά όχι και προκαθορισμός ποιοι θα παρακολουθήσουν τη δίκη, προσχηματική κατανομή, σύστημα αξιόπιστο που δεν θα αποκλείει κάποιους με </w:t>
      </w:r>
      <w:proofErr w:type="spellStart"/>
      <w:r w:rsidR="00661434">
        <w:t>αναυθαίρετα</w:t>
      </w:r>
      <w:proofErr w:type="spellEnd"/>
      <w:r w:rsidR="00661434">
        <w:t xml:space="preserve"> κριτήρια. </w:t>
      </w:r>
      <w:r w:rsidR="00661434">
        <w:br/>
        <w:t xml:space="preserve">Άρθρο 330 του κώδικα ποινικής: Συζήτηση </w:t>
      </w:r>
      <w:r w:rsidR="00661434" w:rsidRPr="005A0934">
        <w:rPr>
          <w:rStyle w:val="a5"/>
        </w:rPr>
        <w:t>κεκλεισμένων των θυρών</w:t>
      </w:r>
      <w:r w:rsidR="00661434">
        <w:br/>
        <w:t xml:space="preserve">Παράγραφος 2 :η απόφαση για τη συζήτηση κεκλεισμένων των θυρών παίρνετε μετά από δημόσια συζήτηση και ανακοινώνεται σε δημόσια συζήτηση. Επειδή είναι </w:t>
      </w:r>
      <w:r w:rsidR="00661434" w:rsidRPr="005A0934">
        <w:rPr>
          <w:rStyle w:val="a4"/>
        </w:rPr>
        <w:t>επιβλαβής στα χρηστά ήθη, υπάρχουν ειδικοί λόγοι για να προστατευθεί ο ιδιωτικός ή οικογενειακός βίος των διαδίκων, για τα εγκλήματα κατά της γενετήσιας ελευθερίας και οικονομικής εκμετάλλευσης της γενετήσιας ζωής, λόγω της ιδιαίτερης ψυχικής ταλαιπωρίας ή διασυρμού του θύματος</w:t>
      </w:r>
      <w:r w:rsidR="00661434">
        <w:t xml:space="preserve">, αν είναι μάλιστα και </w:t>
      </w:r>
      <w:r w:rsidR="00661434" w:rsidRPr="005A0934">
        <w:rPr>
          <w:rStyle w:val="a3"/>
        </w:rPr>
        <w:t>ανήλικος</w:t>
      </w:r>
      <w:r w:rsidR="00661434">
        <w:t xml:space="preserve">, όπως επίσης και σε όλες τις δίκες που έχουν κατηγορούμενο ανήλικο, τα δικαστήρια ανηλίκου είναι εκ του νόμου. </w:t>
      </w:r>
      <w:r w:rsidR="00661434">
        <w:br/>
      </w:r>
      <w:r w:rsidR="00661434" w:rsidRPr="005A0934">
        <w:rPr>
          <w:rStyle w:val="a5"/>
        </w:rPr>
        <w:t>Έμμεση Δημοσιότητα</w:t>
      </w:r>
      <w:r w:rsidR="00661434">
        <w:t>: για το κοινό που παρακολουθεί ή θέλει, όχι με τη φυσική του παρουσία. Αρχικά ήταν μέσω εφημερίδων, μετά ραδιοφωνικά, τηλεοπτικά, διαδικτυακά.</w:t>
      </w:r>
      <w:r w:rsidR="001B0807">
        <w:t xml:space="preserve"> Ζήτημα κατά πόσο η αρχή της δημοσιότητας υπό αυτή τη μορφή επεκτείνεται από την άμεση δημοσιότητα. Σήμερα </w:t>
      </w:r>
      <w:r w:rsidR="001B0807" w:rsidRPr="005A0934">
        <w:rPr>
          <w:rStyle w:val="a3"/>
        </w:rPr>
        <w:t>απαγορεύεται</w:t>
      </w:r>
      <w:r w:rsidR="001B0807">
        <w:t xml:space="preserve"> η μετάδοση των δικών, κατ’ εξαίρεση, εάν συμφωνούν ο εισαγγελέας και οι διάδικοι, μπορεί να επιτραπεί από το δικαστήριο, εφόσον συντρέχει λόγος ουσιώδους δημοσίου συμφέροντος. </w:t>
      </w:r>
    </w:p>
    <w:p w:rsidR="001C7E57" w:rsidRDefault="001B0807">
      <w:r w:rsidRPr="005A0934">
        <w:rPr>
          <w:rStyle w:val="a5"/>
        </w:rPr>
        <w:t>Κυριαρχία στην ποινική δίκη</w:t>
      </w:r>
      <w:r>
        <w:t xml:space="preserve"> (ποιος κατευθύνει;)</w:t>
      </w:r>
      <w:r>
        <w:br/>
        <w:t xml:space="preserve">Δίκη είναι </w:t>
      </w:r>
      <w:r w:rsidRPr="005A0934">
        <w:rPr>
          <w:rStyle w:val="a3"/>
        </w:rPr>
        <w:t>δημοσίου συμφέροντος</w:t>
      </w:r>
      <w:r>
        <w:t xml:space="preserve">, άρα </w:t>
      </w:r>
      <w:r w:rsidR="00661434">
        <w:t xml:space="preserve"> </w:t>
      </w:r>
      <w:r>
        <w:t xml:space="preserve">εξελίσσεται από τα κρατικά όργανα, όχι από </w:t>
      </w:r>
      <w:r>
        <w:lastRenderedPageBreak/>
        <w:t xml:space="preserve">ιδιώτες όπως στην Πολιτική Δίκη. Δύο ρήγματα : στα </w:t>
      </w:r>
      <w:r w:rsidRPr="005A0934">
        <w:rPr>
          <w:rStyle w:val="a3"/>
        </w:rPr>
        <w:t>κατ’ έγκληση εγκλήματα</w:t>
      </w:r>
      <w:r>
        <w:t xml:space="preserve">, σε αντίθεση με την αυτεπάγγελτη δράση του Εισαγγελέα, όπου την κυριαρχία έχει ο παθών, σε αυτό το σημείο, όχι απλά την πρωτοβουλία να αρχίσει, αλλά και να παύσει τη δίκη στη συνέχεια, ανάκληση. Βρίσκεται στην εξουσία του εγκαλούντος. Δεύτερο ρήγμα, η </w:t>
      </w:r>
      <w:r w:rsidRPr="005A0934">
        <w:rPr>
          <w:rStyle w:val="a3"/>
        </w:rPr>
        <w:t>ικανοποίηση του παθόντος</w:t>
      </w:r>
      <w:r>
        <w:t xml:space="preserve">, άρθρο 384 του ποινικού κώδικα, παράγραφος 2: «δεν κινείται ποινική δίωξη και η υπόθεση τίθεται στο αρχείο με αιτιολογημένη πράξη του Εισαγγελέα», σαν εξουσία διάθεσης του ιδιώτη, για εγκλήματα με οικονομικό περιεχόμενο, εφόσον υπάρχει συμφωνία των δύο μερών δεν προχωράει η δίκη. Υπάρχει μια συζήτηση για την </w:t>
      </w:r>
      <w:r w:rsidRPr="005A0934">
        <w:rPr>
          <w:rStyle w:val="a3"/>
        </w:rPr>
        <w:t>ποινική συνδιαλλαγή</w:t>
      </w:r>
      <w:r>
        <w:t xml:space="preserve">, μορφή συζήτησης με περιουσιακό περιεχόμενο, με διαπλοκή του εισαγγελέα/δικαστή. </w:t>
      </w:r>
      <w:r>
        <w:rPr>
          <w:lang w:val="en-US"/>
        </w:rPr>
        <w:t>Plea</w:t>
      </w:r>
      <w:r w:rsidRPr="001B0807">
        <w:t xml:space="preserve"> </w:t>
      </w:r>
      <w:proofErr w:type="spellStart"/>
      <w:r>
        <w:rPr>
          <w:lang w:val="en-US"/>
        </w:rPr>
        <w:t>barjaining</w:t>
      </w:r>
      <w:proofErr w:type="spellEnd"/>
      <w:r>
        <w:t>: συμφωνία με εισαγγελέα, έτσι ο κατηγορούμενος στην ομολογία του να παραδεχθεί ενοχή, για παράδειγμα για ανθρωποκτονία του 299 παράγραφος 2 εν βρασμώ, με ποινή 10 χρόνια, είναι για οικονομία χρόνου, ένα παζάρεμα.</w:t>
      </w:r>
      <w:r w:rsidR="00541508">
        <w:br/>
        <w:t xml:space="preserve">Άρθρο 308Β του κώδικα ποινικής : ποινική συνδιαλλαγή, αποτελεί ένα ρήγμα στην κυριαρχία του κράτους, δημοσίου στην ποινική δίκη. (Δημόσιο είναι ο Εισαγγελέας, ο Ανακριτής, τα Δικαστικά Συμβούλια, ο Δικαστής). </w:t>
      </w:r>
      <w:r w:rsidR="00541508">
        <w:br/>
        <w:t xml:space="preserve">Άρθρο 333 του κώδικα ποινικής : </w:t>
      </w:r>
      <w:r w:rsidR="00541508" w:rsidRPr="005A0934">
        <w:rPr>
          <w:rStyle w:val="a5"/>
        </w:rPr>
        <w:t>Γενική Διεύθυνση της Διαδικασίας</w:t>
      </w:r>
      <w:r w:rsidR="00541508">
        <w:br/>
        <w:t xml:space="preserve">Σε μονομελές δικαστήριο έχει ο Δικαστής, ενώ στο Τριμελές έχει ο πρόεδρος. Η Διεύθυνση μπορεί να είναι </w:t>
      </w:r>
      <w:r w:rsidR="00541508" w:rsidRPr="005A0934">
        <w:rPr>
          <w:rStyle w:val="a3"/>
        </w:rPr>
        <w:t>τυπική ή ουσιαστική</w:t>
      </w:r>
      <w:r w:rsidR="00541508">
        <w:t xml:space="preserve">, για παράδειγμα στην τυπική δίνει άδεια στον Εισαγγελέα ή στο διάδικο να μιλήσουν ή να υποβάλλουν ερωτήσεις, αλλά στην ουσιαστική δεν επιτρέπει ερωτήσεις άσκοπες από το θέμα, καθορίζει τη σειρά εξέτασης των μαρτύρων και το πώς θα εξεταστούν οι μάρτυρες. </w:t>
      </w:r>
      <w:r w:rsidR="00541508">
        <w:br/>
        <w:t xml:space="preserve">Άρθρο 332 του κώδικα ποινικής : η </w:t>
      </w:r>
      <w:r w:rsidR="00541508" w:rsidRPr="005A0934">
        <w:rPr>
          <w:rStyle w:val="a5"/>
        </w:rPr>
        <w:t>συμπεριφορά του δικαστή</w:t>
      </w:r>
      <w:r w:rsidR="00541508">
        <w:t xml:space="preserve">: πρέπει να είναι </w:t>
      </w:r>
      <w:r w:rsidR="00541508" w:rsidRPr="005A0934">
        <w:rPr>
          <w:rStyle w:val="a3"/>
        </w:rPr>
        <w:t>ψύχραιμος</w:t>
      </w:r>
      <w:r w:rsidR="00541508">
        <w:t xml:space="preserve"> και </w:t>
      </w:r>
      <w:r w:rsidR="00541508" w:rsidRPr="005A0934">
        <w:rPr>
          <w:rStyle w:val="a3"/>
        </w:rPr>
        <w:t>απαθής</w:t>
      </w:r>
      <w:r w:rsidR="00541508">
        <w:t xml:space="preserve">, αλλιώς υπάρχει πειθαρχικό παράπτωμα. </w:t>
      </w:r>
    </w:p>
    <w:p w:rsidR="00541508" w:rsidRDefault="00541508">
      <w:r w:rsidRPr="005A0934">
        <w:rPr>
          <w:rStyle w:val="a5"/>
        </w:rPr>
        <w:t>Αντικείμενο της Ποινικής Δίκης</w:t>
      </w:r>
      <w:r>
        <w:t xml:space="preserve">: </w:t>
      </w:r>
      <w:r>
        <w:br/>
        <w:t xml:space="preserve">ο Ποινικός Δικαστής δεν περιμένει από τους διαδίκους, </w:t>
      </w:r>
      <w:r w:rsidRPr="005A0934">
        <w:rPr>
          <w:rStyle w:val="a3"/>
        </w:rPr>
        <w:t>μόνος του ερευνά</w:t>
      </w:r>
      <w:r>
        <w:t xml:space="preserve"> για να βρει την αλήθεια. Αντικείμενο της έρευνας: </w:t>
      </w:r>
      <w:r>
        <w:rPr>
          <w:lang w:val="en-US"/>
        </w:rPr>
        <w:t>in</w:t>
      </w:r>
      <w:r w:rsidRPr="00541508">
        <w:t xml:space="preserve"> </w:t>
      </w:r>
      <w:proofErr w:type="spellStart"/>
      <w:r w:rsidRPr="005A0934">
        <w:rPr>
          <w:rStyle w:val="a3"/>
        </w:rPr>
        <w:t>personam</w:t>
      </w:r>
      <w:proofErr w:type="spellEnd"/>
      <w:r w:rsidRPr="005A0934">
        <w:rPr>
          <w:rStyle w:val="a3"/>
        </w:rPr>
        <w:t xml:space="preserve"> ή </w:t>
      </w:r>
      <w:proofErr w:type="spellStart"/>
      <w:r w:rsidRPr="005A0934">
        <w:rPr>
          <w:rStyle w:val="a3"/>
        </w:rPr>
        <w:t>in</w:t>
      </w:r>
      <w:proofErr w:type="spellEnd"/>
      <w:r w:rsidRPr="005A0934">
        <w:rPr>
          <w:rStyle w:val="a3"/>
        </w:rPr>
        <w:t xml:space="preserve"> </w:t>
      </w:r>
      <w:proofErr w:type="spellStart"/>
      <w:r w:rsidRPr="005A0934">
        <w:rPr>
          <w:rStyle w:val="a3"/>
        </w:rPr>
        <w:t>rem</w:t>
      </w:r>
      <w:proofErr w:type="spellEnd"/>
      <w:r>
        <w:t xml:space="preserve"> (προσανατολισμός στην πράξη και όχι στο πρόσωπο), άρα επιτρέπεται και διαδικασία κατά αγνώστων, ή μπορεί να επεκταθεί και σε άλλα πρόσωπα. </w:t>
      </w:r>
      <w:r w:rsidRPr="005A0934">
        <w:rPr>
          <w:rStyle w:val="a3"/>
        </w:rPr>
        <w:t>Όρια της εκκρεμοδικίας</w:t>
      </w:r>
      <w:r>
        <w:t xml:space="preserve"> και του </w:t>
      </w:r>
      <w:r w:rsidRPr="005A0934">
        <w:rPr>
          <w:rStyle w:val="a3"/>
        </w:rPr>
        <w:t>δεδικασμένου</w:t>
      </w:r>
      <w:r>
        <w:t xml:space="preserve"> είναι ανάλογα με το αντικείμενο της δίκης. Στο κατηγορητικό σύστημα, άλλος κατηγορεί (ο Εισαγγελέας) και άλλος δικάζει. Ο Εισαγγελέας προσδιορίζει το αντικείμενο, όμως ο δικαστής σε ποιο βαθμό δεσμεύεται από αυτό το αντικείμενο; Ζήτημα αποτελεί η </w:t>
      </w:r>
      <w:r w:rsidRPr="005A0934">
        <w:rPr>
          <w:rStyle w:val="a3"/>
        </w:rPr>
        <w:t>μεταβολή της κατηγορίας</w:t>
      </w:r>
      <w:r>
        <w:t xml:space="preserve">, για παράδειγμα ο εισαγγελέας κατηγορεί για κλοπή, μπορεί το δικαστήριο να αποκλίνει από το νομικό χαρακτηρισμό που έδωσε ο εισαγγελέας;, όχι πάντως αν η κατηγορία είναι για βιασμό, να καταλήξει σε κάτι τελείως άσχετο. </w:t>
      </w:r>
      <w:r w:rsidR="00A844A1">
        <w:t xml:space="preserve">Είναι </w:t>
      </w:r>
      <w:r w:rsidR="00A844A1" w:rsidRPr="005A0934">
        <w:rPr>
          <w:rStyle w:val="a5"/>
        </w:rPr>
        <w:t>επιτρεπτή η βελτίωση</w:t>
      </w:r>
      <w:r w:rsidR="00A844A1">
        <w:t xml:space="preserve"> της κατηγορίας, δηλαδή να υπάρχει διαφορά στην εκτίμηση ή προσθήκη άλλων πραγματικών περιστατικών, αλλά είναι </w:t>
      </w:r>
      <w:r w:rsidR="00A844A1" w:rsidRPr="005A0934">
        <w:rPr>
          <w:rStyle w:val="a5"/>
        </w:rPr>
        <w:t>απαγορευμένη η μεταβολή</w:t>
      </w:r>
      <w:r w:rsidR="00A844A1">
        <w:t xml:space="preserve"> της κατηγορίας, η οποία αναιρεί το κατηγορητικό σύστημα και αιφνιδιάζει τον κατηγορούμενο, του στερεί δικαιώματα. Τα όρια αυτά στενεύουν όσο προχωράει η ποινική δίκη, δηλαδή πιο εύκολα στην αρχή αλλάζει ο νομικός χαρακτηρισμός, σε σύγκριση με το τέλος της δίκης. </w:t>
      </w:r>
      <w:r w:rsidR="00A844A1">
        <w:br/>
        <w:t xml:space="preserve">Υπάρχουν </w:t>
      </w:r>
      <w:r w:rsidR="00A844A1" w:rsidRPr="005A0934">
        <w:rPr>
          <w:rStyle w:val="a3"/>
        </w:rPr>
        <w:t>τρία συστήματα</w:t>
      </w:r>
      <w:r w:rsidR="00A844A1">
        <w:t xml:space="preserve"> προσδιορισμού του αντικειμένου της ποινικής διαδικασίας: </w:t>
      </w:r>
      <w:r w:rsidR="00A844A1">
        <w:lastRenderedPageBreak/>
        <w:t xml:space="preserve">το πρώτο, είναι το αντικείμενο της δίκης να είναι η συγκεκριμένη πράξη με το νομικό της χαρακτηρισμό, πιο στενός προσδιορισμός, το δεύτερο, η </w:t>
      </w:r>
      <w:r w:rsidR="00A844A1" w:rsidRPr="005A0934">
        <w:rPr>
          <w:rStyle w:val="a3"/>
        </w:rPr>
        <w:t>πράξη χωρίς το νομικό χαρακτηρισμό</w:t>
      </w:r>
      <w:r w:rsidR="00A844A1">
        <w:t xml:space="preserve">, υπάρχει αλλά δεν ενδιαφέρει, αυτό εφαρμόζεται στην Ελλάδα όπου ο δικαστής δε δεσμεύεται από τους ισχυρισμούς κάποιου, και το τρίτο όπου αντικείμενο της δίκης είναι το ιστορικό γεγονός, ισχύει στη Γερμανία, μας ενδιαφέρει όχι μόνο η πράξη, αλλά όλο το γεγονός. </w:t>
      </w:r>
    </w:p>
    <w:p w:rsidR="00A844A1" w:rsidRDefault="00A844A1">
      <w:r>
        <w:t xml:space="preserve">Άρθρο 250 του κώδικα ποινικής :η Εξουσία του Ανακριτή, </w:t>
      </w:r>
      <w:r>
        <w:rPr>
          <w:lang w:val="en-US"/>
        </w:rPr>
        <w:t>in</w:t>
      </w:r>
      <w:r w:rsidRPr="00A844A1">
        <w:t xml:space="preserve"> </w:t>
      </w:r>
      <w:proofErr w:type="spellStart"/>
      <w:r>
        <w:rPr>
          <w:lang w:val="en-US"/>
        </w:rPr>
        <w:t>rem</w:t>
      </w:r>
      <w:proofErr w:type="spellEnd"/>
      <w:r w:rsidRPr="00A844A1">
        <w:t xml:space="preserve">, </w:t>
      </w:r>
      <w:r>
        <w:t xml:space="preserve">«δίωξη σε όλους </w:t>
      </w:r>
      <w:r w:rsidRPr="005A0934">
        <w:rPr>
          <w:rStyle w:val="a3"/>
        </w:rPr>
        <w:t>όσους συμμετείχαν στην ίδια πράξη</w:t>
      </w:r>
      <w:r>
        <w:t xml:space="preserve">, όχι όμως και σε άλλη πράξη. </w:t>
      </w:r>
    </w:p>
    <w:p w:rsidR="00A844A1" w:rsidRDefault="00A844A1">
      <w:r>
        <w:t xml:space="preserve">Μπορεί να προχωρήσει μια δίκη με </w:t>
      </w:r>
      <w:r w:rsidRPr="005A0934">
        <w:rPr>
          <w:rStyle w:val="a3"/>
        </w:rPr>
        <w:t>απόντα</w:t>
      </w:r>
      <w:r>
        <w:t xml:space="preserve"> τον κατηγορούμενο; Είναι αναγκαία η παρουσία του για την εύρεση της ουσιαστικής αλήθειας, αλλά και για να εκτελεστεί η απόφαση, δεν είναι όπως την πολιτική ερημοδικία, όπου υπάρχει ομολογία των ισχυρισμών. </w:t>
      </w:r>
      <w:r>
        <w:br/>
      </w:r>
      <w:r w:rsidRPr="005A0934">
        <w:rPr>
          <w:rStyle w:val="a3"/>
        </w:rPr>
        <w:t>Δυνατότητες/συστήματα αν είναι απών</w:t>
      </w:r>
      <w:r>
        <w:t xml:space="preserve">: </w:t>
      </w:r>
      <w:r>
        <w:br/>
        <w:t xml:space="preserve">Πρώτον, η διαδικασία συνεχίζεται σαν να ήταν παρών, παραλλαγή: αν επιτρέπεται να συνεχιστεί με παρουσία δικηγόρου ή χωρίς, μειονεκτήματα είναι η δυσκολία εκτέλεσης, όμως πλεονέκτημα είναι η ταχύτητα. </w:t>
      </w:r>
      <w:r w:rsidR="001D7BCB">
        <w:t xml:space="preserve">Δεύτερο, προχωράει κανονικά η δίκη, αλλά έχει το δικαίωμα να ασκήσει ανακοπή, ένδικο βοήθημα, για να ξαναρχίσει ή να συνεχιστεί η δίκη, αλλά να απαιτείται αιτιολόγηση. Τρίτο, η αναιτιολόγητη ανακοπή. Τέταρτο, να δικαστεί ωσεί παρών, αλλά αν εμφανιστεί ή συλληφθεί, να εξαφανιστεί η απόφαση και να ξαναδικαστεί. Πέμπτο, δεν γίνεται καθόλου ποινική δίκη. </w:t>
      </w:r>
      <w:r w:rsidR="001D7BCB">
        <w:br/>
        <w:t xml:space="preserve">Γίνεται προσπάθεια ισορροπίας. Η ποινική δίκη πρέπει να γίνεται με </w:t>
      </w:r>
      <w:r w:rsidR="001D7BCB" w:rsidRPr="005A0934">
        <w:rPr>
          <w:rStyle w:val="a3"/>
        </w:rPr>
        <w:t>παρόντα</w:t>
      </w:r>
      <w:r w:rsidR="001D7BCB">
        <w:t xml:space="preserve"> τον κατηγορούμενο, όμως αν δεν γίνει καθόλου ποινική δίκη, θα οδηγούσε σε παραγραφή της πράξης, υπάρχει ανάγκη για πιο πρακτική λύση. Στην Ελλάδα, ο κανόνας είναι ότι </w:t>
      </w:r>
      <w:r w:rsidR="001D7BCB" w:rsidRPr="005A0934">
        <w:rPr>
          <w:rStyle w:val="a3"/>
        </w:rPr>
        <w:t>δίκη ερήμην επιτρέπεται για τα πλημμελήματα</w:t>
      </w:r>
      <w:r w:rsidR="001D7BCB">
        <w:t xml:space="preserve">, όχι όμως και για τα κακουργήματα, σημείο αναφοράς είναι λοιπόν η βαρύτητα του εγκλήματος. </w:t>
      </w:r>
      <w:r w:rsidR="001D7BCB" w:rsidRPr="005A0934">
        <w:rPr>
          <w:rStyle w:val="a3"/>
        </w:rPr>
        <w:t>Δεν τεκμαίρεται τίποτα</w:t>
      </w:r>
      <w:r w:rsidR="001D7BCB">
        <w:t xml:space="preserve"> επειδή απουσιάζει, μπορεί είτε να καταδικαστεί είτε να αθωωθεί, η υπόθεση θα δικαστεί κανονικά. Ο κώδικα ποινικής </w:t>
      </w:r>
      <w:r w:rsidR="003436FE">
        <w:t xml:space="preserve">δικονομίας δίνει ένα ευρύτατο </w:t>
      </w:r>
      <w:r w:rsidR="003436FE" w:rsidRPr="005A0934">
        <w:rPr>
          <w:rStyle w:val="a3"/>
        </w:rPr>
        <w:t>δικαίωμα εκπροσώπησης του κατηγορουμένου από το συνήγορο</w:t>
      </w:r>
      <w:r w:rsidR="003436FE">
        <w:t xml:space="preserve">. </w:t>
      </w:r>
    </w:p>
    <w:p w:rsidR="003436FE" w:rsidRPr="00A844A1" w:rsidRDefault="003436FE">
      <w:r>
        <w:t xml:space="preserve">Άρθρο 340 του κώδικα ποινικής: </w:t>
      </w:r>
      <w:r w:rsidRPr="005A0934">
        <w:rPr>
          <w:rStyle w:val="a5"/>
        </w:rPr>
        <w:t>προσωπική εμφάνιση του κατηγορουμένου</w:t>
      </w:r>
      <w:r>
        <w:br/>
        <w:t xml:space="preserve">Κατ’ αρχήν έχει υποχρέωση για αυτοπρόσωπη εμφάνιση στο ακροατήριο, αυτός ήταν ο κανόνας, και στα κακουργήματα, υποχρεωτικά με δικηγόρο. Όμως στην παράγραφο 2, ο κατηγορούμενος μπορεί να </w:t>
      </w:r>
      <w:r w:rsidRPr="005A0934">
        <w:rPr>
          <w:rStyle w:val="a3"/>
        </w:rPr>
        <w:t>εκπροσωπείται από το συνήγορο</w:t>
      </w:r>
      <w:r>
        <w:t xml:space="preserve">, </w:t>
      </w:r>
      <w:r w:rsidRPr="005A0934">
        <w:rPr>
          <w:rStyle w:val="a3"/>
        </w:rPr>
        <w:t>θεωρείται παρών</w:t>
      </w:r>
      <w:r>
        <w:t xml:space="preserve"> και ο συνήγορός του ενεργεί όλες τις διαδικαστικές πράξεις γι’ αυτόν, έχει δικονομική παρουσία με την εκπροσώπηση δια του δικηγόρου, χωρίς να είναι σωματικά παρών. Δέχεται σοβαρή κριτική από αρκετούς θεωρητικούς, όπως ο Ανδρουλάκης, αφού δεν μπορεί να σχηματίσει το δικαστήριο εικόνα για την προσωπικότητα του κατηγορουμένου. Όμως το δικαστήριο μπορεί να διατάξει </w:t>
      </w:r>
      <w:r w:rsidRPr="005A0934">
        <w:rPr>
          <w:rStyle w:val="a5"/>
        </w:rPr>
        <w:t>και</w:t>
      </w:r>
      <w:r>
        <w:t xml:space="preserve"> την αυτοπρόσωπη παρουσία του κατηγορουμένου. </w:t>
      </w:r>
    </w:p>
    <w:sectPr w:rsidR="003436FE" w:rsidRPr="00A844A1" w:rsidSect="007701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C7E57"/>
    <w:rsid w:val="0000508B"/>
    <w:rsid w:val="000167E9"/>
    <w:rsid w:val="00037498"/>
    <w:rsid w:val="000400C8"/>
    <w:rsid w:val="00043BB6"/>
    <w:rsid w:val="00043F29"/>
    <w:rsid w:val="000449EC"/>
    <w:rsid w:val="000502B9"/>
    <w:rsid w:val="000675F2"/>
    <w:rsid w:val="0007011A"/>
    <w:rsid w:val="000703D5"/>
    <w:rsid w:val="00071DB5"/>
    <w:rsid w:val="00072890"/>
    <w:rsid w:val="00073F97"/>
    <w:rsid w:val="00080C95"/>
    <w:rsid w:val="000811E6"/>
    <w:rsid w:val="00082ECB"/>
    <w:rsid w:val="00083FA2"/>
    <w:rsid w:val="000A2D66"/>
    <w:rsid w:val="000A357A"/>
    <w:rsid w:val="000A7CC0"/>
    <w:rsid w:val="000B2ED7"/>
    <w:rsid w:val="000B3CCE"/>
    <w:rsid w:val="000B3F3A"/>
    <w:rsid w:val="000B42F0"/>
    <w:rsid w:val="000B5BB2"/>
    <w:rsid w:val="000C0A89"/>
    <w:rsid w:val="000C2933"/>
    <w:rsid w:val="000C5E61"/>
    <w:rsid w:val="000C72D2"/>
    <w:rsid w:val="000D3198"/>
    <w:rsid w:val="000D33C5"/>
    <w:rsid w:val="000D5060"/>
    <w:rsid w:val="000D6C29"/>
    <w:rsid w:val="000E4761"/>
    <w:rsid w:val="000E4D20"/>
    <w:rsid w:val="000E5A09"/>
    <w:rsid w:val="000F072A"/>
    <w:rsid w:val="000F4F88"/>
    <w:rsid w:val="000F591D"/>
    <w:rsid w:val="000F6F41"/>
    <w:rsid w:val="000F6F47"/>
    <w:rsid w:val="0010026E"/>
    <w:rsid w:val="0010034B"/>
    <w:rsid w:val="00103975"/>
    <w:rsid w:val="00115EC8"/>
    <w:rsid w:val="00123ECF"/>
    <w:rsid w:val="001258CB"/>
    <w:rsid w:val="00127320"/>
    <w:rsid w:val="00135824"/>
    <w:rsid w:val="00136387"/>
    <w:rsid w:val="00142434"/>
    <w:rsid w:val="00143AB0"/>
    <w:rsid w:val="00145362"/>
    <w:rsid w:val="0014789D"/>
    <w:rsid w:val="00152244"/>
    <w:rsid w:val="00155706"/>
    <w:rsid w:val="0016567C"/>
    <w:rsid w:val="00166768"/>
    <w:rsid w:val="00167ECC"/>
    <w:rsid w:val="00175E7F"/>
    <w:rsid w:val="0017666E"/>
    <w:rsid w:val="0018120E"/>
    <w:rsid w:val="00182973"/>
    <w:rsid w:val="00190D06"/>
    <w:rsid w:val="0019327C"/>
    <w:rsid w:val="0019689A"/>
    <w:rsid w:val="001973EE"/>
    <w:rsid w:val="001A2AB3"/>
    <w:rsid w:val="001A4572"/>
    <w:rsid w:val="001A7612"/>
    <w:rsid w:val="001B0807"/>
    <w:rsid w:val="001B3E27"/>
    <w:rsid w:val="001C1385"/>
    <w:rsid w:val="001C1A90"/>
    <w:rsid w:val="001C7E57"/>
    <w:rsid w:val="001D6B20"/>
    <w:rsid w:val="001D7409"/>
    <w:rsid w:val="001D7BCB"/>
    <w:rsid w:val="001E759F"/>
    <w:rsid w:val="001F065F"/>
    <w:rsid w:val="001F09A2"/>
    <w:rsid w:val="001F1650"/>
    <w:rsid w:val="001F5E48"/>
    <w:rsid w:val="00202087"/>
    <w:rsid w:val="00214DF3"/>
    <w:rsid w:val="00227CA5"/>
    <w:rsid w:val="0023099C"/>
    <w:rsid w:val="002312CA"/>
    <w:rsid w:val="00232502"/>
    <w:rsid w:val="00241034"/>
    <w:rsid w:val="00241F04"/>
    <w:rsid w:val="00252C0A"/>
    <w:rsid w:val="00255EDF"/>
    <w:rsid w:val="0025761C"/>
    <w:rsid w:val="00262F0E"/>
    <w:rsid w:val="00266E14"/>
    <w:rsid w:val="00284EB6"/>
    <w:rsid w:val="00297CD8"/>
    <w:rsid w:val="00297D58"/>
    <w:rsid w:val="002A03BB"/>
    <w:rsid w:val="002A1736"/>
    <w:rsid w:val="002A3C27"/>
    <w:rsid w:val="002B4447"/>
    <w:rsid w:val="002B6D84"/>
    <w:rsid w:val="002B761A"/>
    <w:rsid w:val="002C3CCF"/>
    <w:rsid w:val="002C7F3B"/>
    <w:rsid w:val="002D3D88"/>
    <w:rsid w:val="002D76FE"/>
    <w:rsid w:val="002E1607"/>
    <w:rsid w:val="002E21EA"/>
    <w:rsid w:val="002E3361"/>
    <w:rsid w:val="002E5C57"/>
    <w:rsid w:val="002F5CBB"/>
    <w:rsid w:val="002F63DD"/>
    <w:rsid w:val="00302AA2"/>
    <w:rsid w:val="00303757"/>
    <w:rsid w:val="00306F2D"/>
    <w:rsid w:val="003079DF"/>
    <w:rsid w:val="00310798"/>
    <w:rsid w:val="00312CF3"/>
    <w:rsid w:val="00321750"/>
    <w:rsid w:val="003218B8"/>
    <w:rsid w:val="00324B3E"/>
    <w:rsid w:val="003311E6"/>
    <w:rsid w:val="0033397F"/>
    <w:rsid w:val="00335D01"/>
    <w:rsid w:val="003411A4"/>
    <w:rsid w:val="00343244"/>
    <w:rsid w:val="003436FE"/>
    <w:rsid w:val="0034719D"/>
    <w:rsid w:val="003512D8"/>
    <w:rsid w:val="00352BC6"/>
    <w:rsid w:val="003531FF"/>
    <w:rsid w:val="00355BDF"/>
    <w:rsid w:val="00360B35"/>
    <w:rsid w:val="00361608"/>
    <w:rsid w:val="003621B0"/>
    <w:rsid w:val="00362BC9"/>
    <w:rsid w:val="00366ED1"/>
    <w:rsid w:val="003735D2"/>
    <w:rsid w:val="003826E9"/>
    <w:rsid w:val="003907EF"/>
    <w:rsid w:val="00391F92"/>
    <w:rsid w:val="0039424C"/>
    <w:rsid w:val="003A0320"/>
    <w:rsid w:val="003A49A9"/>
    <w:rsid w:val="003A7463"/>
    <w:rsid w:val="003B026A"/>
    <w:rsid w:val="003C21E8"/>
    <w:rsid w:val="003C38C4"/>
    <w:rsid w:val="003D03CF"/>
    <w:rsid w:val="003D0902"/>
    <w:rsid w:val="003D5578"/>
    <w:rsid w:val="003D7960"/>
    <w:rsid w:val="003E3BA1"/>
    <w:rsid w:val="003E5531"/>
    <w:rsid w:val="003E5888"/>
    <w:rsid w:val="003F3F00"/>
    <w:rsid w:val="003F5186"/>
    <w:rsid w:val="003F65D9"/>
    <w:rsid w:val="00401069"/>
    <w:rsid w:val="00405449"/>
    <w:rsid w:val="00405855"/>
    <w:rsid w:val="004059BD"/>
    <w:rsid w:val="00406723"/>
    <w:rsid w:val="0041100D"/>
    <w:rsid w:val="0041361E"/>
    <w:rsid w:val="00420A6A"/>
    <w:rsid w:val="00421CD8"/>
    <w:rsid w:val="00422A88"/>
    <w:rsid w:val="00435140"/>
    <w:rsid w:val="00435A97"/>
    <w:rsid w:val="00442BCC"/>
    <w:rsid w:val="00451A26"/>
    <w:rsid w:val="00463AD7"/>
    <w:rsid w:val="00465C30"/>
    <w:rsid w:val="00465DDE"/>
    <w:rsid w:val="00466C8C"/>
    <w:rsid w:val="004710C8"/>
    <w:rsid w:val="00493779"/>
    <w:rsid w:val="004A47BB"/>
    <w:rsid w:val="004B094C"/>
    <w:rsid w:val="004B6096"/>
    <w:rsid w:val="004B7FF4"/>
    <w:rsid w:val="004C47EB"/>
    <w:rsid w:val="004C51D0"/>
    <w:rsid w:val="004D758C"/>
    <w:rsid w:val="004F0D9D"/>
    <w:rsid w:val="005018EB"/>
    <w:rsid w:val="005040E3"/>
    <w:rsid w:val="0050551A"/>
    <w:rsid w:val="005058D3"/>
    <w:rsid w:val="00505CEC"/>
    <w:rsid w:val="00514EA7"/>
    <w:rsid w:val="00526282"/>
    <w:rsid w:val="00527D45"/>
    <w:rsid w:val="0053106D"/>
    <w:rsid w:val="005413C2"/>
    <w:rsid w:val="00541508"/>
    <w:rsid w:val="00541FB9"/>
    <w:rsid w:val="00545B19"/>
    <w:rsid w:val="005555D4"/>
    <w:rsid w:val="00560F7F"/>
    <w:rsid w:val="00567294"/>
    <w:rsid w:val="0057408A"/>
    <w:rsid w:val="00581FC0"/>
    <w:rsid w:val="005823AA"/>
    <w:rsid w:val="00585091"/>
    <w:rsid w:val="0059279C"/>
    <w:rsid w:val="00594366"/>
    <w:rsid w:val="00596DC7"/>
    <w:rsid w:val="005A0934"/>
    <w:rsid w:val="005A6C32"/>
    <w:rsid w:val="005A7B51"/>
    <w:rsid w:val="005C3E78"/>
    <w:rsid w:val="005C602C"/>
    <w:rsid w:val="005D0BE2"/>
    <w:rsid w:val="005D35AE"/>
    <w:rsid w:val="005E0A2B"/>
    <w:rsid w:val="005F0336"/>
    <w:rsid w:val="005F45EF"/>
    <w:rsid w:val="005F6BD1"/>
    <w:rsid w:val="005F7344"/>
    <w:rsid w:val="0060110B"/>
    <w:rsid w:val="00601EA3"/>
    <w:rsid w:val="00604470"/>
    <w:rsid w:val="006148DD"/>
    <w:rsid w:val="006166A2"/>
    <w:rsid w:val="00621581"/>
    <w:rsid w:val="00623CDB"/>
    <w:rsid w:val="00626D55"/>
    <w:rsid w:val="00634057"/>
    <w:rsid w:val="006368ED"/>
    <w:rsid w:val="00641269"/>
    <w:rsid w:val="00644E48"/>
    <w:rsid w:val="006454AF"/>
    <w:rsid w:val="00652092"/>
    <w:rsid w:val="00660528"/>
    <w:rsid w:val="00661434"/>
    <w:rsid w:val="006629E4"/>
    <w:rsid w:val="00663F6B"/>
    <w:rsid w:val="006725F8"/>
    <w:rsid w:val="00674EB5"/>
    <w:rsid w:val="00675AAD"/>
    <w:rsid w:val="00695896"/>
    <w:rsid w:val="006A1D99"/>
    <w:rsid w:val="006A26B6"/>
    <w:rsid w:val="006A38BA"/>
    <w:rsid w:val="006A3A44"/>
    <w:rsid w:val="006A62BB"/>
    <w:rsid w:val="006D1428"/>
    <w:rsid w:val="006D2A1A"/>
    <w:rsid w:val="006D2D53"/>
    <w:rsid w:val="006D7993"/>
    <w:rsid w:val="006E5727"/>
    <w:rsid w:val="006F19A5"/>
    <w:rsid w:val="006F5B40"/>
    <w:rsid w:val="006F7DB4"/>
    <w:rsid w:val="007007B9"/>
    <w:rsid w:val="00701809"/>
    <w:rsid w:val="00702429"/>
    <w:rsid w:val="00706730"/>
    <w:rsid w:val="00713AAB"/>
    <w:rsid w:val="00725E5C"/>
    <w:rsid w:val="007440FB"/>
    <w:rsid w:val="00745697"/>
    <w:rsid w:val="00746D5C"/>
    <w:rsid w:val="00754E5B"/>
    <w:rsid w:val="007554C2"/>
    <w:rsid w:val="00756569"/>
    <w:rsid w:val="007602CE"/>
    <w:rsid w:val="00762BE9"/>
    <w:rsid w:val="0076520F"/>
    <w:rsid w:val="007701E8"/>
    <w:rsid w:val="00770BE3"/>
    <w:rsid w:val="0077747C"/>
    <w:rsid w:val="00782655"/>
    <w:rsid w:val="0078280C"/>
    <w:rsid w:val="00797FBA"/>
    <w:rsid w:val="007A2171"/>
    <w:rsid w:val="007A507D"/>
    <w:rsid w:val="007A6CE6"/>
    <w:rsid w:val="007B3D5B"/>
    <w:rsid w:val="007B665E"/>
    <w:rsid w:val="007C24F4"/>
    <w:rsid w:val="007C2BD8"/>
    <w:rsid w:val="007C77DB"/>
    <w:rsid w:val="007D5E02"/>
    <w:rsid w:val="007E448E"/>
    <w:rsid w:val="008007DC"/>
    <w:rsid w:val="00802887"/>
    <w:rsid w:val="00810E45"/>
    <w:rsid w:val="00816AB4"/>
    <w:rsid w:val="0082495F"/>
    <w:rsid w:val="00825B2D"/>
    <w:rsid w:val="00827497"/>
    <w:rsid w:val="00831884"/>
    <w:rsid w:val="00834A66"/>
    <w:rsid w:val="00842789"/>
    <w:rsid w:val="00844C56"/>
    <w:rsid w:val="00851425"/>
    <w:rsid w:val="00855EA1"/>
    <w:rsid w:val="00856B0E"/>
    <w:rsid w:val="008577C0"/>
    <w:rsid w:val="00860FF6"/>
    <w:rsid w:val="00866207"/>
    <w:rsid w:val="0086636A"/>
    <w:rsid w:val="00874AFB"/>
    <w:rsid w:val="00883290"/>
    <w:rsid w:val="00883500"/>
    <w:rsid w:val="00883F25"/>
    <w:rsid w:val="00886F64"/>
    <w:rsid w:val="00887E72"/>
    <w:rsid w:val="00890338"/>
    <w:rsid w:val="00894DD8"/>
    <w:rsid w:val="00897C09"/>
    <w:rsid w:val="008B1250"/>
    <w:rsid w:val="008C0771"/>
    <w:rsid w:val="008C3B55"/>
    <w:rsid w:val="008C3FB7"/>
    <w:rsid w:val="008C6A82"/>
    <w:rsid w:val="008C6EBF"/>
    <w:rsid w:val="008D050E"/>
    <w:rsid w:val="008D0DB6"/>
    <w:rsid w:val="008E433E"/>
    <w:rsid w:val="008E495A"/>
    <w:rsid w:val="008E6CB8"/>
    <w:rsid w:val="008E7818"/>
    <w:rsid w:val="00901A0D"/>
    <w:rsid w:val="00905AE1"/>
    <w:rsid w:val="00920F4E"/>
    <w:rsid w:val="009251A3"/>
    <w:rsid w:val="009253C2"/>
    <w:rsid w:val="0093538D"/>
    <w:rsid w:val="00935665"/>
    <w:rsid w:val="009361D7"/>
    <w:rsid w:val="00944894"/>
    <w:rsid w:val="00945664"/>
    <w:rsid w:val="00945ACB"/>
    <w:rsid w:val="0095071B"/>
    <w:rsid w:val="00956360"/>
    <w:rsid w:val="00957B4C"/>
    <w:rsid w:val="009631FC"/>
    <w:rsid w:val="00966E44"/>
    <w:rsid w:val="00972F9E"/>
    <w:rsid w:val="0097363A"/>
    <w:rsid w:val="0098379D"/>
    <w:rsid w:val="0099329B"/>
    <w:rsid w:val="00994139"/>
    <w:rsid w:val="009B1352"/>
    <w:rsid w:val="009B53A6"/>
    <w:rsid w:val="009B6C94"/>
    <w:rsid w:val="009B7449"/>
    <w:rsid w:val="009D5A10"/>
    <w:rsid w:val="009D63E6"/>
    <w:rsid w:val="009D70B4"/>
    <w:rsid w:val="009E017B"/>
    <w:rsid w:val="009E028A"/>
    <w:rsid w:val="009E35A9"/>
    <w:rsid w:val="009E4AEF"/>
    <w:rsid w:val="009E5B25"/>
    <w:rsid w:val="00A00CCA"/>
    <w:rsid w:val="00A23F6B"/>
    <w:rsid w:val="00A269DC"/>
    <w:rsid w:val="00A27CF5"/>
    <w:rsid w:val="00A319AA"/>
    <w:rsid w:val="00A34C91"/>
    <w:rsid w:val="00A353B8"/>
    <w:rsid w:val="00A41D1F"/>
    <w:rsid w:val="00A465BE"/>
    <w:rsid w:val="00A4707A"/>
    <w:rsid w:val="00A57C7A"/>
    <w:rsid w:val="00A66417"/>
    <w:rsid w:val="00A71778"/>
    <w:rsid w:val="00A73A09"/>
    <w:rsid w:val="00A812C2"/>
    <w:rsid w:val="00A81386"/>
    <w:rsid w:val="00A822CF"/>
    <w:rsid w:val="00A844A1"/>
    <w:rsid w:val="00A913C4"/>
    <w:rsid w:val="00A92E22"/>
    <w:rsid w:val="00A96435"/>
    <w:rsid w:val="00AB6678"/>
    <w:rsid w:val="00AC00F9"/>
    <w:rsid w:val="00AD2E9F"/>
    <w:rsid w:val="00AD3097"/>
    <w:rsid w:val="00AD62C7"/>
    <w:rsid w:val="00AD7265"/>
    <w:rsid w:val="00AE1379"/>
    <w:rsid w:val="00AF20D2"/>
    <w:rsid w:val="00AF28B1"/>
    <w:rsid w:val="00AF53C7"/>
    <w:rsid w:val="00AF64A0"/>
    <w:rsid w:val="00AF65E4"/>
    <w:rsid w:val="00AF7325"/>
    <w:rsid w:val="00AF775C"/>
    <w:rsid w:val="00B12882"/>
    <w:rsid w:val="00B32008"/>
    <w:rsid w:val="00B33190"/>
    <w:rsid w:val="00B36404"/>
    <w:rsid w:val="00B36A67"/>
    <w:rsid w:val="00B373A8"/>
    <w:rsid w:val="00B42F0A"/>
    <w:rsid w:val="00B54131"/>
    <w:rsid w:val="00B60BA2"/>
    <w:rsid w:val="00B66EBF"/>
    <w:rsid w:val="00B7120B"/>
    <w:rsid w:val="00B72CAA"/>
    <w:rsid w:val="00B74477"/>
    <w:rsid w:val="00B77EA2"/>
    <w:rsid w:val="00B83301"/>
    <w:rsid w:val="00B851E5"/>
    <w:rsid w:val="00B852FD"/>
    <w:rsid w:val="00B902B8"/>
    <w:rsid w:val="00B91002"/>
    <w:rsid w:val="00B915C5"/>
    <w:rsid w:val="00B917B6"/>
    <w:rsid w:val="00B91820"/>
    <w:rsid w:val="00B92BFC"/>
    <w:rsid w:val="00B96E61"/>
    <w:rsid w:val="00BA3143"/>
    <w:rsid w:val="00BA3AA0"/>
    <w:rsid w:val="00BA5AB2"/>
    <w:rsid w:val="00BA60C7"/>
    <w:rsid w:val="00BB437A"/>
    <w:rsid w:val="00BB6106"/>
    <w:rsid w:val="00BB6D0F"/>
    <w:rsid w:val="00BC229F"/>
    <w:rsid w:val="00BC422D"/>
    <w:rsid w:val="00BD0729"/>
    <w:rsid w:val="00BD46A7"/>
    <w:rsid w:val="00BD718B"/>
    <w:rsid w:val="00BE0132"/>
    <w:rsid w:val="00BE0849"/>
    <w:rsid w:val="00BE0F7A"/>
    <w:rsid w:val="00BE1E81"/>
    <w:rsid w:val="00BE4987"/>
    <w:rsid w:val="00BE66C3"/>
    <w:rsid w:val="00BE6C03"/>
    <w:rsid w:val="00BF5C1B"/>
    <w:rsid w:val="00BF7A06"/>
    <w:rsid w:val="00C0664F"/>
    <w:rsid w:val="00C07AED"/>
    <w:rsid w:val="00C144EF"/>
    <w:rsid w:val="00C25F8D"/>
    <w:rsid w:val="00C26046"/>
    <w:rsid w:val="00C35674"/>
    <w:rsid w:val="00C35988"/>
    <w:rsid w:val="00C36D2F"/>
    <w:rsid w:val="00C40899"/>
    <w:rsid w:val="00C504C9"/>
    <w:rsid w:val="00C72C69"/>
    <w:rsid w:val="00C7318B"/>
    <w:rsid w:val="00C733B6"/>
    <w:rsid w:val="00C73726"/>
    <w:rsid w:val="00C7438B"/>
    <w:rsid w:val="00C81C51"/>
    <w:rsid w:val="00C83C15"/>
    <w:rsid w:val="00C95AEA"/>
    <w:rsid w:val="00C97EF6"/>
    <w:rsid w:val="00CA0996"/>
    <w:rsid w:val="00CA10D7"/>
    <w:rsid w:val="00CB462A"/>
    <w:rsid w:val="00CB4F33"/>
    <w:rsid w:val="00CB7C71"/>
    <w:rsid w:val="00CD1DA1"/>
    <w:rsid w:val="00CD5BFC"/>
    <w:rsid w:val="00CE194D"/>
    <w:rsid w:val="00CE2E1B"/>
    <w:rsid w:val="00CE7ADF"/>
    <w:rsid w:val="00CF5093"/>
    <w:rsid w:val="00CF52D2"/>
    <w:rsid w:val="00CF6A4F"/>
    <w:rsid w:val="00D0327A"/>
    <w:rsid w:val="00D04CBB"/>
    <w:rsid w:val="00D05308"/>
    <w:rsid w:val="00D16C3C"/>
    <w:rsid w:val="00D24DE7"/>
    <w:rsid w:val="00D251D7"/>
    <w:rsid w:val="00D25F6C"/>
    <w:rsid w:val="00D27712"/>
    <w:rsid w:val="00D448F0"/>
    <w:rsid w:val="00D47792"/>
    <w:rsid w:val="00D5788D"/>
    <w:rsid w:val="00D60AF2"/>
    <w:rsid w:val="00D60DD7"/>
    <w:rsid w:val="00D634F6"/>
    <w:rsid w:val="00D71696"/>
    <w:rsid w:val="00D71F0F"/>
    <w:rsid w:val="00D73655"/>
    <w:rsid w:val="00D73A2A"/>
    <w:rsid w:val="00D73EC7"/>
    <w:rsid w:val="00D755F3"/>
    <w:rsid w:val="00D765CE"/>
    <w:rsid w:val="00D779AC"/>
    <w:rsid w:val="00D83497"/>
    <w:rsid w:val="00D86C73"/>
    <w:rsid w:val="00D93CE4"/>
    <w:rsid w:val="00D93D91"/>
    <w:rsid w:val="00D94B43"/>
    <w:rsid w:val="00D97A26"/>
    <w:rsid w:val="00DA64DE"/>
    <w:rsid w:val="00DC2235"/>
    <w:rsid w:val="00DC240F"/>
    <w:rsid w:val="00DC3AF9"/>
    <w:rsid w:val="00DC4BF8"/>
    <w:rsid w:val="00DC73E1"/>
    <w:rsid w:val="00DD79E0"/>
    <w:rsid w:val="00DE0FF2"/>
    <w:rsid w:val="00DE675D"/>
    <w:rsid w:val="00DE7ACD"/>
    <w:rsid w:val="00DF4614"/>
    <w:rsid w:val="00DF5661"/>
    <w:rsid w:val="00E02056"/>
    <w:rsid w:val="00E0307F"/>
    <w:rsid w:val="00E0353B"/>
    <w:rsid w:val="00E1066F"/>
    <w:rsid w:val="00E11E8B"/>
    <w:rsid w:val="00E14F42"/>
    <w:rsid w:val="00E16404"/>
    <w:rsid w:val="00E2092C"/>
    <w:rsid w:val="00E23397"/>
    <w:rsid w:val="00E2708A"/>
    <w:rsid w:val="00E318F5"/>
    <w:rsid w:val="00E36AB8"/>
    <w:rsid w:val="00E475A9"/>
    <w:rsid w:val="00E47CC3"/>
    <w:rsid w:val="00E53D01"/>
    <w:rsid w:val="00E54130"/>
    <w:rsid w:val="00E558BA"/>
    <w:rsid w:val="00E6061E"/>
    <w:rsid w:val="00E66A84"/>
    <w:rsid w:val="00E67EAB"/>
    <w:rsid w:val="00E801E8"/>
    <w:rsid w:val="00E8259B"/>
    <w:rsid w:val="00E86224"/>
    <w:rsid w:val="00E92FCF"/>
    <w:rsid w:val="00E9339E"/>
    <w:rsid w:val="00EB0C43"/>
    <w:rsid w:val="00EB2217"/>
    <w:rsid w:val="00EB273B"/>
    <w:rsid w:val="00EB4746"/>
    <w:rsid w:val="00EC12FF"/>
    <w:rsid w:val="00EC1D41"/>
    <w:rsid w:val="00ED1FB3"/>
    <w:rsid w:val="00ED2544"/>
    <w:rsid w:val="00ED5F0B"/>
    <w:rsid w:val="00EE372A"/>
    <w:rsid w:val="00EF7390"/>
    <w:rsid w:val="00F02891"/>
    <w:rsid w:val="00F02C44"/>
    <w:rsid w:val="00F05448"/>
    <w:rsid w:val="00F11664"/>
    <w:rsid w:val="00F15810"/>
    <w:rsid w:val="00F203B0"/>
    <w:rsid w:val="00F25025"/>
    <w:rsid w:val="00F31F79"/>
    <w:rsid w:val="00F358C4"/>
    <w:rsid w:val="00F35B5B"/>
    <w:rsid w:val="00F36F73"/>
    <w:rsid w:val="00F44D00"/>
    <w:rsid w:val="00F468CC"/>
    <w:rsid w:val="00F52777"/>
    <w:rsid w:val="00F53252"/>
    <w:rsid w:val="00F5536F"/>
    <w:rsid w:val="00F558B2"/>
    <w:rsid w:val="00F57116"/>
    <w:rsid w:val="00F6469D"/>
    <w:rsid w:val="00F7401F"/>
    <w:rsid w:val="00F7671D"/>
    <w:rsid w:val="00F8376F"/>
    <w:rsid w:val="00F935E4"/>
    <w:rsid w:val="00F941BC"/>
    <w:rsid w:val="00FA4D77"/>
    <w:rsid w:val="00FA7978"/>
    <w:rsid w:val="00FB5C2E"/>
    <w:rsid w:val="00FC1046"/>
    <w:rsid w:val="00FC3913"/>
    <w:rsid w:val="00FD5C94"/>
    <w:rsid w:val="00FE3DCD"/>
    <w:rsid w:val="00FE5734"/>
    <w:rsid w:val="00FE77B7"/>
    <w:rsid w:val="00FE7934"/>
    <w:rsid w:val="00FF4290"/>
    <w:rsid w:val="00FF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before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7A"/>
    <w:pPr>
      <w:spacing w:before="0" w:after="200"/>
    </w:pPr>
    <w:rPr>
      <w:rFonts w:ascii="Times New Roman" w:eastAsiaTheme="minorEastAsia" w:hAnsi="Times New Roman"/>
      <w:sz w:val="24"/>
      <w:lang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5A09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5A09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styleId="a3">
    <w:name w:val="Emphasis"/>
    <w:basedOn w:val="a0"/>
    <w:uiPriority w:val="20"/>
    <w:qFormat/>
    <w:rsid w:val="005A0934"/>
    <w:rPr>
      <w:i/>
      <w:iCs/>
    </w:rPr>
  </w:style>
  <w:style w:type="character" w:styleId="a4">
    <w:name w:val="Subtle Emphasis"/>
    <w:basedOn w:val="a0"/>
    <w:uiPriority w:val="19"/>
    <w:qFormat/>
    <w:rsid w:val="005A0934"/>
    <w:rPr>
      <w:i/>
      <w:iCs/>
      <w:color w:val="808080" w:themeColor="text1" w:themeTint="7F"/>
    </w:rPr>
  </w:style>
  <w:style w:type="character" w:styleId="a5">
    <w:name w:val="Strong"/>
    <w:basedOn w:val="a0"/>
    <w:uiPriority w:val="22"/>
    <w:qFormat/>
    <w:rsid w:val="005A09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1344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Konnes</dc:creator>
  <cp:lastModifiedBy>Ελένη</cp:lastModifiedBy>
  <cp:revision>2</cp:revision>
  <dcterms:created xsi:type="dcterms:W3CDTF">2014-03-03T11:05:00Z</dcterms:created>
  <dcterms:modified xsi:type="dcterms:W3CDTF">2014-03-04T18:32:00Z</dcterms:modified>
</cp:coreProperties>
</file>