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Default="00687CCD">
      <w:r>
        <w:t>Ποινική Δικονομία</w:t>
      </w:r>
      <w:r>
        <w:br/>
        <w:t xml:space="preserve">Καθηγητής : κ. </w:t>
      </w:r>
      <w:proofErr w:type="spellStart"/>
      <w:r>
        <w:t>Κιούπης</w:t>
      </w:r>
      <w:proofErr w:type="spellEnd"/>
      <w:r>
        <w:br/>
        <w:t>Ημερομηνία : 20/2/2014</w:t>
      </w:r>
      <w:r w:rsidR="00F96B12">
        <w:br/>
        <w:t>Σημειώσεις από συμφοιτήτριά μου</w:t>
      </w:r>
    </w:p>
    <w:p w:rsidR="00687CCD" w:rsidRDefault="00687CCD">
      <w:r>
        <w:t>Νόμος 4236 του 2014, ΦΕΚ 33</w:t>
      </w:r>
      <w:r w:rsidRPr="00687CCD">
        <w:rPr>
          <w:vertAlign w:val="superscript"/>
        </w:rPr>
        <w:t>Α</w:t>
      </w:r>
      <w:r>
        <w:t xml:space="preserve"> του 11/2/2014, βρες το νόμο, έγινε αλλαγή στην Ποινική δικονομία. </w:t>
      </w:r>
      <w:r>
        <w:br/>
        <w:t xml:space="preserve">Άρθρο 357 του κώδικα ποινικής : </w:t>
      </w:r>
      <w:r w:rsidRPr="0096149F">
        <w:rPr>
          <w:rStyle w:val="a3"/>
        </w:rPr>
        <w:t>αντικείμενο ελέγχου</w:t>
      </w:r>
      <w:r>
        <w:t xml:space="preserve"> από όλους τους παράγοντες της δίκης. Άρθρο 366 του κώδικα ποινικής : </w:t>
      </w:r>
      <w:r w:rsidRPr="0096149F">
        <w:rPr>
          <w:rStyle w:val="a4"/>
        </w:rPr>
        <w:t>απολογία του κατηγορουμένου</w:t>
      </w:r>
      <w:r>
        <w:t xml:space="preserve">, παράγραφος 1 εδάφιο </w:t>
      </w:r>
      <w:proofErr w:type="spellStart"/>
      <w:r>
        <w:t>α΄</w:t>
      </w:r>
      <w:proofErr w:type="spellEnd"/>
      <w:r>
        <w:t xml:space="preserve"> , όψη </w:t>
      </w:r>
      <w:r w:rsidRPr="0096149F">
        <w:rPr>
          <w:rStyle w:val="a3"/>
        </w:rPr>
        <w:t>αρχής αμεσότητας</w:t>
      </w:r>
      <w:r>
        <w:t xml:space="preserve">, παράγραφος 2 : επικουρικότητα, συμπληρωματικός ρόλος, πότε διαβάζονται οι ένορκες καταθέσεις ολόκληρες. Άρθρο 365 και 354 του κώδικα ποινικής κατά </w:t>
      </w:r>
      <w:r w:rsidRPr="0096149F">
        <w:rPr>
          <w:rStyle w:val="a3"/>
        </w:rPr>
        <w:t>παρέκκλιση</w:t>
      </w:r>
      <w:r>
        <w:t xml:space="preserve"> της αρχής της αμεσότητας, διαβάζεται σύνολο κατάθεσης γιατί δεν μπορεί να εμφανιστεί στο ακροατήριο για σπουδαίο λόγο), σ’ αυτή την περίπτωση, γήρας, ασθένειας, σπουδαίος λόγος, πρέπει να είναι φειδωλό το δικαστήριο, λόγω παραβίασης της αρχής και επειδή οι διάδικοι δεν έχουν έλεγχο επί της δικαιολογίας, αρκετά αμφιλεγόμενο ζήτημα. Εδάφιο </w:t>
      </w:r>
      <w:proofErr w:type="spellStart"/>
      <w:r>
        <w:t>β΄</w:t>
      </w:r>
      <w:proofErr w:type="spellEnd"/>
      <w:r>
        <w:t xml:space="preserve"> διάσταση περισσότερα </w:t>
      </w:r>
      <w:r w:rsidRPr="0096149F">
        <w:rPr>
          <w:rStyle w:val="a3"/>
        </w:rPr>
        <w:t>αποδεικτικά μέσα</w:t>
      </w:r>
      <w:r>
        <w:t xml:space="preserve"> προτιμούμε το </w:t>
      </w:r>
      <w:r w:rsidRPr="0096149F">
        <w:rPr>
          <w:rStyle w:val="a3"/>
        </w:rPr>
        <w:t>αμεσότερο</w:t>
      </w:r>
      <w:r>
        <w:t xml:space="preserve"> μέσο για καλύτερο έλεγχο στην πράξη όμως δεν ισχύει δεσμευτικά, για παράδειγμα </w:t>
      </w:r>
      <w:proofErr w:type="spellStart"/>
      <w:r>
        <w:t>αγγλοσαξωνικό</w:t>
      </w:r>
      <w:proofErr w:type="spellEnd"/>
      <w:r>
        <w:t xml:space="preserve"> μόνο η πηγή όχι μόνο αυτός που άκουσε κάτι από κάποιο άλλο όμως στην Ελλάδα δεν είναι πάντα έτσι, θέτουμε ως σοβαρότερο μια πιο αξιόπιστη πηγή, δεν είναι σύνηθες αλλά μπορεί να γίνει, κι εξάλλου ο δικαστής δε δεσμεύεται από τα αποδεικτικά μέσα αλλά από τη συνείδησή του, δεν περιορίζεται ο δικα</w:t>
      </w:r>
      <w:r w:rsidR="00DC13D2">
        <w:t xml:space="preserve">στής αλλά κρίνει κατά περίπτωση, κατευθυντήρια γραμμή, άρθρο 177 του κώδικα ποινικής δε δεσμεύεται ούτε ποια είναι ούτε πόσο δεσμευτικά. Άρθρο 6 της ΕΣΔΑ δίνει το δικαίωμα εξέτασης και υποβολής δικών των αποδεικτικών στοιχείων ο κατηγορούμενος κτλ, δηλαδή </w:t>
      </w:r>
      <w:r w:rsidR="00DC13D2" w:rsidRPr="0096149F">
        <w:rPr>
          <w:rStyle w:val="a3"/>
        </w:rPr>
        <w:t>άμεση προσωπική επαφή</w:t>
      </w:r>
      <w:r w:rsidR="00DC13D2">
        <w:t xml:space="preserve"> έχει και ο Εισαγγελέας και ο κατηγορούμενος και η πολιτική αγωγή, </w:t>
      </w:r>
      <w:r w:rsidR="00DC13D2" w:rsidRPr="0096149F">
        <w:rPr>
          <w:rStyle w:val="a3"/>
        </w:rPr>
        <w:t xml:space="preserve">δικαίωμα εξέτασης </w:t>
      </w:r>
      <w:r w:rsidR="00DC13D2">
        <w:t>από τον κατηγορούμενο των αποδεικτικών μέσων, άρα οι εξαιρέσεις είναι</w:t>
      </w:r>
      <w:r w:rsidR="00F96B12">
        <w:t xml:space="preserve"> αμφισβητούμενες, όπως το κώλυμα μάρτυρα του 354, ύστατο μέσο. Προβλήματα αποτελούν το 226</w:t>
      </w:r>
      <w:r w:rsidR="00F96B12" w:rsidRPr="00F96B12">
        <w:rPr>
          <w:vertAlign w:val="superscript"/>
        </w:rPr>
        <w:t>Α</w:t>
      </w:r>
      <w:r w:rsidR="00F96B12">
        <w:t xml:space="preserve">, αν το θύμα είναι μάρτυρας, ή ανήλικοι –μάρτυρες- θύματα. Παράγραφοι 3 και 4, πάντα ανάγνωση της γραπτής κατάθεσης, μπορεί, δεν υποχρεούται να παρίσταται. Παράγραφος 5 μπορούν να το ζητήσουν να εξεταστεί συμπληρωματικά, δικαίωμα αν γίνει δεκτή η αίτηση θα υποβληθεί σε εξέταση υπό προϋποθέσεις. Επιπλέον, ο νόμος 2928 του 2001 για εγκληματικές οργανώσεις, άρθρο 9, προστασία μαρτύρων από αντίποινα, κατάθεση με χρήση ηλεκτρονικών μέσων δεν γράφεται όνομα και άλλα προσωπικά στοιχεία. Παράγραφος 4 στη διαδικασία στο ακροατήριο καλείται με το όνομα που είναι γραμμένο στην κατάθεση, μπορεί να ζητηθεί αποκάλυψη, μπορεί και αυτεπάγγελτα, αλλά ελέγχεται από το δικαστήριο, μόνη η κατάθεσή του δεν αρκεί για καταδίκη αν δεν αποκαλυφθούν τα στοιχεία του. Πώς εξασφαλίζουμε την αποτελεσματικότητα των παραπάνω αρχών; Με αμεσότητα και </w:t>
      </w:r>
      <w:proofErr w:type="spellStart"/>
      <w:r w:rsidR="00F96B12">
        <w:t>προφορικότητα</w:t>
      </w:r>
      <w:proofErr w:type="spellEnd"/>
      <w:r w:rsidR="00F96B12">
        <w:t xml:space="preserve">. Η Αρχή της συνεχούς παρουσίας και η αρχή της συγκεντρωτικής διαδικασίας. </w:t>
      </w:r>
    </w:p>
    <w:p w:rsidR="00F96B12" w:rsidRDefault="00F96B12">
      <w:r>
        <w:t xml:space="preserve">Η </w:t>
      </w:r>
      <w:r w:rsidRPr="0096149F">
        <w:rPr>
          <w:rStyle w:val="a4"/>
        </w:rPr>
        <w:t>Αρχή της συνεχούς παρουσίας</w:t>
      </w:r>
      <w:r>
        <w:t xml:space="preserve"> : </w:t>
      </w:r>
      <w:r w:rsidRPr="0096149F">
        <w:rPr>
          <w:rStyle w:val="a3"/>
        </w:rPr>
        <w:t>ποτέ ερήμην κάποιου από τους παράγοντες της δίκης</w:t>
      </w:r>
      <w:r>
        <w:t xml:space="preserve">, όλοι παρόντες, λειτουργούν προς όλες τις κατευθύνσεις, δεν αναφέρεται στους μάρτυρες, οι οποίοι καλούνται μόνο για κατάθεση, διαβάζεται κατάλογος μαρτύρων (ο ένας παραμένει όλοι οι άλλοι έξω, παρευρίσκεται μόνο όταν καταθέτει, φεύγει ή παραμένει), δε συνεχίζεται η δίκη χωρίς να υπάρχει κάποιος από τους βασικούς παράγοντες. Δικαίωμα </w:t>
      </w:r>
      <w:r>
        <w:lastRenderedPageBreak/>
        <w:t xml:space="preserve">στον κατηγορούμενο να μην εμφανίζεται, άρθρο 340 παράγραφος 2, να μην είναι φυσικά παρών, αλλά δικονομικά είναι λόγω συνηγόρου. Δικαίωμα όμως έχει το δικαστήριο να διατάξει την αυτοπρόσωπη εμφάνιση, άδεια αν είναι προσωρινά κρατούμενος. Σε δίκες με μεγάλο χρονικό διάστημα υπάρχει η δυνατότητα </w:t>
      </w:r>
      <w:r w:rsidRPr="0096149F">
        <w:rPr>
          <w:rStyle w:val="a3"/>
        </w:rPr>
        <w:t>αναπληρωματικών δικαστών</w:t>
      </w:r>
      <w:r>
        <w:t xml:space="preserve"> και Εισαγγελέων, οπότε σε περίπτωση κωλύματος να υπάρχει αντικαταστάτης, ο οποίος θα βρίσκεται συνεχώς εκεί από την πρώτη στιγμή. </w:t>
      </w:r>
    </w:p>
    <w:p w:rsidR="00F96B12" w:rsidRPr="00687CCD" w:rsidRDefault="00F96B12">
      <w:r w:rsidRPr="0096149F">
        <w:rPr>
          <w:rStyle w:val="a4"/>
        </w:rPr>
        <w:t>Αρχή της συγκεντρωτικής διαδικασίας</w:t>
      </w:r>
      <w:r>
        <w:t xml:space="preserve"> : δηλαδή </w:t>
      </w:r>
      <w:r w:rsidRPr="0096149F">
        <w:rPr>
          <w:rStyle w:val="a3"/>
        </w:rPr>
        <w:t>χωρίς διακοπές</w:t>
      </w:r>
      <w:r>
        <w:t>, οικονομία, όχι ταλαιπωρία, διαρκής αντίληψη δικαστή για την υπόθεση. (διακοπές μόνο όταν είναι απολύτως αναγκαίες</w:t>
      </w:r>
      <w:r w:rsidR="0096149F">
        <w:t>- μιλάμε για διακοπές ημερών, όχι ωρών</w:t>
      </w:r>
      <w:r>
        <w:t xml:space="preserve">). </w:t>
      </w:r>
      <w:r w:rsidR="0096149F">
        <w:t xml:space="preserve">Άρθρο 352 του κώδικα ποινικής αναφέρεται στην </w:t>
      </w:r>
      <w:r w:rsidR="0096149F" w:rsidRPr="0096149F">
        <w:rPr>
          <w:rStyle w:val="a4"/>
        </w:rPr>
        <w:t>διακοπή</w:t>
      </w:r>
      <w:r w:rsidR="0096149F">
        <w:t xml:space="preserve"> και την </w:t>
      </w:r>
      <w:r w:rsidR="0096149F" w:rsidRPr="0096149F">
        <w:rPr>
          <w:rStyle w:val="a4"/>
        </w:rPr>
        <w:t>αναβολή</w:t>
      </w:r>
      <w:r w:rsidR="0096149F">
        <w:t xml:space="preserve">, δύο διαφορετικές δυνατότητες. Στην αναβολή, άλλο δικαστήριο, οπότε ή το πρώτο δεν αποφασίζει καθόλου ή δικάζει μέχρι ένα σημείο, </w:t>
      </w:r>
      <w:r w:rsidR="0096149F" w:rsidRPr="0096149F">
        <w:rPr>
          <w:rStyle w:val="a3"/>
        </w:rPr>
        <w:t>προηγείται η διακοπή</w:t>
      </w:r>
      <w:r w:rsidR="0096149F">
        <w:t xml:space="preserve"> αν είναι δυνατόν, διακοπή για επόμενη δικάσιμο σε κάποιες μέρες, η διαδικασία να προχωρά χωρίς μεγάλα κενά (διακοπή για μια ημέρα που να βολεύει όλους), διακοπές σύντομες ώστε όλοι οι παράγοντες να έχουν συνεχή και αδιάλειπτη παρουσία, κοντά η μια στην άλλη, να μην ξεχνούν τη δίκη, επιτάχυνση της δίκης, εξυπηρετεί συμφέροντα κατηγορουμένου. </w:t>
      </w:r>
      <w:r w:rsidR="0096149F" w:rsidRPr="0096149F">
        <w:rPr>
          <w:rStyle w:val="a3"/>
        </w:rPr>
        <w:t>Σκοπός της πολιτικής αγωγής</w:t>
      </w:r>
      <w:r w:rsidR="0096149F">
        <w:t xml:space="preserve"> είναι η ικανοποίηση αστικής αξίωσης και υποστήριξη της κατηγορίας για λόγους δημόσιου συμφέροντος. </w:t>
      </w:r>
      <w:r w:rsidR="0096149F" w:rsidRPr="0096149F">
        <w:rPr>
          <w:rStyle w:val="a4"/>
        </w:rPr>
        <w:t>Αστικός και ποινικός χαρακτήρας</w:t>
      </w:r>
      <w:r w:rsidR="0096149F">
        <w:t xml:space="preserve"> (μεικτός), </w:t>
      </w:r>
      <w:r w:rsidR="0096149F" w:rsidRPr="0096149F">
        <w:rPr>
          <w:rStyle w:val="a3"/>
        </w:rPr>
        <w:t>πρωτογενή</w:t>
      </w:r>
      <w:r w:rsidR="0096149F">
        <w:t xml:space="preserve"> και τα δύο. Αν καταβληθεί το ποσό δεν ασκεί επιρροή στον ποινικό χαρακτήρα της πολιτικής αγωγής, διατήρηση του δικαιώματος παράστασης και μετά, διμελή όμως του δικαστηρίου, ο ποινικός χαρακτήρας είναι </w:t>
      </w:r>
      <w:proofErr w:type="spellStart"/>
      <w:r w:rsidR="0096149F">
        <w:t>παρακολουθηματικώς</w:t>
      </w:r>
      <w:proofErr w:type="spellEnd"/>
      <w:r w:rsidR="0096149F">
        <w:t xml:space="preserve"> υπάρχουσα και άρα μετά δε νομιμοποιείται η πολιτική αγωγή σε παράσταση τριμελή είπαν </w:t>
      </w:r>
      <w:proofErr w:type="spellStart"/>
      <w:r w:rsidR="0096149F">
        <w:t>ό,τι</w:t>
      </w:r>
      <w:proofErr w:type="spellEnd"/>
      <w:r w:rsidR="0096149F">
        <w:t xml:space="preserve"> είπε και η πλειοψηφία αλλά μόνο για το θύμα, όχι όμως και για τους κληρονόμους, μόνο το θύμα έχει πρωτογενή αξίωση. </w:t>
      </w:r>
    </w:p>
    <w:sectPr w:rsidR="00F96B12" w:rsidRPr="00687CCD"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87CCD"/>
    <w:rsid w:val="00687CCD"/>
    <w:rsid w:val="0096149F"/>
    <w:rsid w:val="00DA4782"/>
    <w:rsid w:val="00DC13D2"/>
    <w:rsid w:val="00E66098"/>
    <w:rsid w:val="00F528A1"/>
    <w:rsid w:val="00F96B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96149F"/>
    <w:rPr>
      <w:i/>
      <w:iCs/>
    </w:rPr>
  </w:style>
  <w:style w:type="character" w:styleId="a4">
    <w:name w:val="Strong"/>
    <w:basedOn w:val="a0"/>
    <w:uiPriority w:val="22"/>
    <w:qFormat/>
    <w:rsid w:val="0096149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1945</TotalTime>
  <Pages>2</Pages>
  <Words>786</Words>
  <Characters>4246</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1</cp:revision>
  <dcterms:created xsi:type="dcterms:W3CDTF">2014-03-02T12:38:00Z</dcterms:created>
  <dcterms:modified xsi:type="dcterms:W3CDTF">2014-03-04T09:33:00Z</dcterms:modified>
</cp:coreProperties>
</file>