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8A1" w:rsidRDefault="001D428A">
      <w:r>
        <w:t>Ποινική Δικονομία</w:t>
      </w:r>
      <w:r>
        <w:br/>
        <w:t xml:space="preserve">Καθηγήτρια: κ. </w:t>
      </w:r>
      <w:proofErr w:type="spellStart"/>
      <w:r>
        <w:t>Λιούρδη</w:t>
      </w:r>
      <w:proofErr w:type="spellEnd"/>
      <w:r>
        <w:br/>
        <w:t>Ημερομηνία: 14/2/2014</w:t>
      </w:r>
    </w:p>
    <w:p w:rsidR="001D428A" w:rsidRDefault="001D428A" w:rsidP="004C73CB">
      <w:pPr>
        <w:pStyle w:val="2"/>
      </w:pPr>
      <w:r>
        <w:t>Απόδειξη</w:t>
      </w:r>
    </w:p>
    <w:p w:rsidR="001D428A" w:rsidRDefault="00B728EF">
      <w:r>
        <w:t xml:space="preserve">Διαφορές συστημάτων : </w:t>
      </w:r>
      <w:r w:rsidRPr="004C73CB">
        <w:rPr>
          <w:rStyle w:val="a4"/>
        </w:rPr>
        <w:t>νομικές αποδείξεις</w:t>
      </w:r>
      <w:r>
        <w:t xml:space="preserve">, όπου ο δικαστής είναι υποχρεωμένος να ακολουθήσει τα στοιχεία, έναντι της </w:t>
      </w:r>
      <w:r w:rsidRPr="004C73CB">
        <w:rPr>
          <w:rStyle w:val="a4"/>
        </w:rPr>
        <w:t>ελεύθερης εκτίμησης</w:t>
      </w:r>
      <w:r>
        <w:t>, όπου η μοναδική δέσμευση του δικαστή είναι να αιτιολογήσει, προκύπτει τόσο από τον κώδικα ποινικής, όσο και από το σύνταγμα. Άρθρο 139 του κώδικα ποινικής.</w:t>
      </w:r>
      <w:r>
        <w:br/>
        <w:t xml:space="preserve">Άρθρο 177 παράγραφος 2 του κώδικα ποινικής : </w:t>
      </w:r>
      <w:r w:rsidRPr="004C73CB">
        <w:rPr>
          <w:rStyle w:val="a5"/>
        </w:rPr>
        <w:t>αποδεικτικά μέσα που έχουν αποκτηθεί με αξιόποινες πράξεις ή μέσω αυτών δε λαμβάνονται υπόψη στην ποινική διαδικασία</w:t>
      </w:r>
      <w:r>
        <w:t>. Δεν γίνονται δεκτά. Ζήτημα για το άρθρο 253</w:t>
      </w:r>
      <w:r w:rsidRPr="00B728EF">
        <w:rPr>
          <w:vertAlign w:val="superscript"/>
        </w:rPr>
        <w:t>Α</w:t>
      </w:r>
      <w:r>
        <w:t xml:space="preserve"> του κώδικα για τις ανακριτικές πράξεις επί εγκληματικών οργανώσεων, αν και παράνομες, και αντισυνταγματικές κατά μια άποψη, αν είναι μόνο σε αυτό το πλαίσιο, είναι καθόλα νόμιμες. Άρθρο 200 για την ανάλυση </w:t>
      </w:r>
      <w:r>
        <w:rPr>
          <w:lang w:val="en-US"/>
        </w:rPr>
        <w:t>DNA</w:t>
      </w:r>
      <w:r>
        <w:t xml:space="preserve">. </w:t>
      </w:r>
    </w:p>
    <w:p w:rsidR="00B728EF" w:rsidRDefault="00B728EF">
      <w:r>
        <w:t xml:space="preserve">Αρχή της </w:t>
      </w:r>
      <w:r w:rsidRPr="004C73CB">
        <w:rPr>
          <w:rStyle w:val="a5"/>
        </w:rPr>
        <w:t>αμεσότητας</w:t>
      </w:r>
      <w:r>
        <w:t xml:space="preserve">: είναι βασική αρχή για τη διαδικασία στο ακροατήριο. </w:t>
      </w:r>
    </w:p>
    <w:p w:rsidR="00B728EF" w:rsidRDefault="00B728EF">
      <w:r>
        <w:t xml:space="preserve">Άρθρο 178 του κώδικα ποινικής, αναφέρει τα αποδεικτικά μέσα </w:t>
      </w:r>
      <w:r w:rsidRPr="004C73CB">
        <w:rPr>
          <w:rStyle w:val="a4"/>
        </w:rPr>
        <w:t>ενδεικτικά</w:t>
      </w:r>
      <w:r>
        <w:t xml:space="preserve">. Άρθρο 179, τα επιτρεπόμενα αποδεικτικά μέσα, ενώ στο εδάφιο </w:t>
      </w:r>
      <w:proofErr w:type="spellStart"/>
      <w:r>
        <w:t>β΄</w:t>
      </w:r>
      <w:proofErr w:type="spellEnd"/>
      <w:r>
        <w:t xml:space="preserve"> όταν υπάρχει αστική βάση/ αξίωση, για παράδειγμα περιουσία ή ιδιοκτησία. Η εξέταση της υπόθεσης γίνεται πρώτα από την πλευρά του αστικού και μετά από την πλευρά του ποινικού, άρθρα 59 επόμενα. </w:t>
      </w:r>
    </w:p>
    <w:p w:rsidR="000C65E0" w:rsidRDefault="00B728EF" w:rsidP="000C65E0">
      <w:pPr>
        <w:pStyle w:val="a3"/>
        <w:numPr>
          <w:ilvl w:val="0"/>
          <w:numId w:val="1"/>
        </w:numPr>
      </w:pPr>
      <w:r w:rsidRPr="004C73CB">
        <w:rPr>
          <w:rStyle w:val="a6"/>
        </w:rPr>
        <w:t>Πραγματογνωμοσύνη</w:t>
      </w:r>
      <w:r>
        <w:t xml:space="preserve"> : άρθρο 183 του κώδικα, πραγματογνώμονες και τεχνικοί σύμβουλοι. Η πραγματογνωμοσύνη έχει διττή φύση, αποτελεί και </w:t>
      </w:r>
      <w:r w:rsidRPr="004C73CB">
        <w:rPr>
          <w:rStyle w:val="a5"/>
        </w:rPr>
        <w:t>αποδεικτικό μέσο και ανακριτική πράξη</w:t>
      </w:r>
      <w:r>
        <w:t xml:space="preserve">. Οι </w:t>
      </w:r>
      <w:r w:rsidRPr="004C73CB">
        <w:rPr>
          <w:rStyle w:val="a4"/>
        </w:rPr>
        <w:t>τεχνικοί σύμβουλοι</w:t>
      </w:r>
      <w:r>
        <w:t xml:space="preserve"> ορίζονται από το διάδικο, παρακολουθούν την πραγματογνωμοσύνη και καταθέτουν μελέτη. Συνήθως αποτελεί τον τεχνικό συνήγορο του διαδίκου και για αυτό δεν ορκίζεται. Και οι δύο έχουν ειδικές γνώσεις, όμως η πραγματογνωμοσύνη διορίζεται από το δικαστήριο ή διατάσσεται από την Εισαγγελία. Ο τεχνικός σύμβουλος δεν διορίζεται οποτεδήποτε, για παράδειγμα δεν επιτρέπεται στα πλημμελήματα, αλλά μόνο στα κακουργήματα. Δεν ορκίζεται, αφού προάγει τα συμφέρονται του κατηγορουμένου. Ζήτημα αποτελεί το 203 του κώδικα ποινικής, όπου ορίζει ότι επιτρέπονται </w:t>
      </w:r>
      <w:r w:rsidRPr="004C73CB">
        <w:rPr>
          <w:rStyle w:val="a5"/>
        </w:rPr>
        <w:t>μάρτυρες με ειδικές γνώσεις</w:t>
      </w:r>
      <w:r>
        <w:t xml:space="preserve">, έμμεσα είναι ο τεχνικός σύμβουλος </w:t>
      </w:r>
      <w:r w:rsidR="000C65E0">
        <w:t xml:space="preserve">για τα πλημμελήματα. Αλλά δεν είναι πραγματικά μάρτυρας, γιατί οι μάρτυρες είναι αναντικατάστατοι, είτε αυτόπτες, είτε αυτήκοοι, είτε εξ ακοής, είχαν άμεση επαφή με το συμβάν, σε αντίθεση με τους μάρτυρες με ειδικές γνώσεις, οι οποίοι διαγιγνώσκουν μια κατάσταση πραγμάτων που δεν υπάρχει πια. Είναι καλυμμένοι πραγματογνώμονες ή τεχνικοί σύμβουλοι, που όμως ορκίζονται. </w:t>
      </w:r>
      <w:r w:rsidR="000C65E0">
        <w:br/>
        <w:t xml:space="preserve">(Μάρτυρες κατηγορητηρίου αποτελούν όχι μόνο οι μάρτυρες κατηγορίας αλλά και υπεράσπισης). Ελεύθερη η κρίση του δικαστή, αν βέβαια προσκομιστούν δεκαπέντε μάρτυρες με ειδικές γνώσεις, επηρεάζεται ο δικαστής. </w:t>
      </w:r>
    </w:p>
    <w:p w:rsidR="000C65E0" w:rsidRDefault="000C65E0" w:rsidP="000C65E0">
      <w:pPr>
        <w:pStyle w:val="a3"/>
      </w:pPr>
    </w:p>
    <w:p w:rsidR="00B728EF" w:rsidRPr="00B728EF" w:rsidRDefault="000C65E0" w:rsidP="000C65E0">
      <w:pPr>
        <w:pStyle w:val="a3"/>
        <w:ind w:left="0"/>
      </w:pPr>
      <w:r>
        <w:t xml:space="preserve">Μπορούμε να ιεραρχήσουμε τα αποδεικτικά μέσα; Όχι. </w:t>
      </w:r>
      <w:r w:rsidRPr="004C73CB">
        <w:rPr>
          <w:rStyle w:val="a4"/>
        </w:rPr>
        <w:t>Αρχή της ηθικής απόδειξης</w:t>
      </w:r>
      <w:r>
        <w:t xml:space="preserve">, κρίση βάση της συνείδησης του δικαστή. Ο πραγματογνώμονας είναι βοηθός του Δικαστή, άρθρο 183. Το ποινικό δίκαιο, άρθρο 191, καθορίζει και στον πραγματογνώμονα τις ίδιες </w:t>
      </w:r>
      <w:r w:rsidRPr="004C73CB">
        <w:rPr>
          <w:rStyle w:val="a5"/>
        </w:rPr>
        <w:t>εξαιρέσεις όπως το δικαστή</w:t>
      </w:r>
      <w:r>
        <w:t xml:space="preserve">. Στο άρθρο 194 είναι ο όρκος του πραγματογνώμονα, δεν είναι </w:t>
      </w:r>
      <w:r>
        <w:lastRenderedPageBreak/>
        <w:t xml:space="preserve">ο ίδιος όπως του μάρτυρα. Έχει τις </w:t>
      </w:r>
      <w:r w:rsidRPr="004C73CB">
        <w:rPr>
          <w:rStyle w:val="a5"/>
        </w:rPr>
        <w:t>ίδιες υποχρεώσεις</w:t>
      </w:r>
      <w:r>
        <w:t xml:space="preserve"> όπως ο Δικαστής, αμεροληψία και εξακρίβωση της αλήθειας. Η πραγματογνωμοσύνη διατάσσεται κατόπιν αίτησης διαδίκου ή εισαγγελέα. Πολύ συχνή στην πράξη είναι η ψυχιατρική πραγματογνωμοσύνη, για το ακαταλόγιστο, εγκλεισμό για παρατήρηση, και η γραφολογική πραγματογνωμοσύνη, για παράδειγμα πλαστογραφία. </w:t>
      </w:r>
      <w:r>
        <w:br/>
        <w:t xml:space="preserve">Άρθρο 184 του κώδικα ποινικής: ο αριθμός των πραγματογνωμόνων, μπορεί δύο ή τρεις, ή μόνο ένας. Δεν είναι απαραίτητο να συμφωνούν οι πραγματογνωμοσύνες, είναι θέμα του δικαστή πώς θα τις κρίνει. </w:t>
      </w:r>
    </w:p>
    <w:sectPr w:rsidR="00B728EF" w:rsidRPr="00B728EF" w:rsidSect="00F528A1">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10002FF" w:usb1="4000ACFF" w:usb2="00000009"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B02034"/>
    <w:multiLevelType w:val="hybridMultilevel"/>
    <w:tmpl w:val="4C22271E"/>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D428A"/>
    <w:rsid w:val="000C65E0"/>
    <w:rsid w:val="001D428A"/>
    <w:rsid w:val="004C73CB"/>
    <w:rsid w:val="00B728EF"/>
    <w:rsid w:val="00C406E4"/>
    <w:rsid w:val="00DA4782"/>
    <w:rsid w:val="00F528A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782"/>
  </w:style>
  <w:style w:type="paragraph" w:styleId="2">
    <w:name w:val="heading 2"/>
    <w:basedOn w:val="a"/>
    <w:next w:val="a"/>
    <w:link w:val="2Char"/>
    <w:uiPriority w:val="9"/>
    <w:unhideWhenUsed/>
    <w:qFormat/>
    <w:rsid w:val="004C73C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28EF"/>
    <w:pPr>
      <w:ind w:left="720"/>
      <w:contextualSpacing/>
    </w:pPr>
  </w:style>
  <w:style w:type="character" w:customStyle="1" w:styleId="2Char">
    <w:name w:val="Επικεφαλίδα 2 Char"/>
    <w:basedOn w:val="a0"/>
    <w:link w:val="2"/>
    <w:uiPriority w:val="9"/>
    <w:rsid w:val="004C73CB"/>
    <w:rPr>
      <w:rFonts w:asciiTheme="majorHAnsi" w:eastAsiaTheme="majorEastAsia" w:hAnsiTheme="majorHAnsi" w:cstheme="majorBidi"/>
      <w:b/>
      <w:bCs/>
      <w:color w:val="4F81BD" w:themeColor="accent1"/>
      <w:sz w:val="26"/>
      <w:szCs w:val="26"/>
    </w:rPr>
  </w:style>
  <w:style w:type="character" w:styleId="a4">
    <w:name w:val="Strong"/>
    <w:basedOn w:val="a0"/>
    <w:uiPriority w:val="22"/>
    <w:qFormat/>
    <w:rsid w:val="004C73CB"/>
    <w:rPr>
      <w:b/>
      <w:bCs/>
    </w:rPr>
  </w:style>
  <w:style w:type="character" w:styleId="a5">
    <w:name w:val="Emphasis"/>
    <w:basedOn w:val="a0"/>
    <w:uiPriority w:val="20"/>
    <w:qFormat/>
    <w:rsid w:val="004C73CB"/>
    <w:rPr>
      <w:i/>
      <w:iCs/>
    </w:rPr>
  </w:style>
  <w:style w:type="character" w:styleId="a6">
    <w:name w:val="Intense Emphasis"/>
    <w:basedOn w:val="a0"/>
    <w:uiPriority w:val="21"/>
    <w:qFormat/>
    <w:rsid w:val="004C73CB"/>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1F7D0-800F-4518-A4D0-45E791D18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540</Words>
  <Characters>2920</Characters>
  <Application>Microsoft Office Word</Application>
  <DocSecurity>0</DocSecurity>
  <Lines>24</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Ελένη</dc:creator>
  <cp:lastModifiedBy>Ελένη</cp:lastModifiedBy>
  <cp:revision>1</cp:revision>
  <dcterms:created xsi:type="dcterms:W3CDTF">2014-03-01T20:04:00Z</dcterms:created>
  <dcterms:modified xsi:type="dcterms:W3CDTF">2014-03-01T20:48:00Z</dcterms:modified>
</cp:coreProperties>
</file>